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03E5" w14:textId="60446AD9" w:rsidR="00B60AC7" w:rsidRDefault="00EE514A" w:rsidP="00E9348F">
      <w:pPr>
        <w:spacing w:line="240" w:lineRule="auto"/>
        <w:jc w:val="center"/>
        <w:rPr>
          <w:b/>
          <w:bCs/>
          <w:sz w:val="28"/>
          <w:szCs w:val="28"/>
          <w:lang w:val="en-US"/>
        </w:rPr>
      </w:pPr>
      <w:r>
        <w:rPr>
          <w:b/>
          <w:bCs/>
          <w:sz w:val="28"/>
          <w:szCs w:val="28"/>
          <w:lang w:val="en-US"/>
        </w:rPr>
        <w:t>The Role of the OECD in Nordic Education Policy</w:t>
      </w:r>
    </w:p>
    <w:p w14:paraId="3BC403D0" w14:textId="77777777" w:rsidR="00EE514A" w:rsidRPr="00D70F91" w:rsidRDefault="00EE514A" w:rsidP="00D70F91">
      <w:pPr>
        <w:jc w:val="center"/>
        <w:rPr>
          <w:b/>
          <w:bCs/>
          <w:sz w:val="28"/>
          <w:szCs w:val="28"/>
          <w:lang w:val="en-US"/>
        </w:rPr>
      </w:pPr>
    </w:p>
    <w:p w14:paraId="57A77424" w14:textId="0AEB0FC2" w:rsidR="00D70F91" w:rsidRDefault="00D70F91" w:rsidP="00BC3068">
      <w:pPr>
        <w:autoSpaceDE w:val="0"/>
        <w:autoSpaceDN w:val="0"/>
        <w:adjustRightInd w:val="0"/>
        <w:spacing w:after="0" w:line="360" w:lineRule="auto"/>
        <w:rPr>
          <w:i/>
          <w:iCs/>
          <w:sz w:val="24"/>
          <w:szCs w:val="24"/>
          <w:lang w:val="en-US"/>
        </w:rPr>
      </w:pPr>
      <w:r w:rsidRPr="00D70F91">
        <w:rPr>
          <w:i/>
          <w:iCs/>
          <w:sz w:val="24"/>
          <w:szCs w:val="24"/>
          <w:lang w:val="en-US"/>
        </w:rPr>
        <w:t>Proposal for a NERA symposium at the AERA 2023</w:t>
      </w:r>
    </w:p>
    <w:p w14:paraId="76C8337B" w14:textId="127FA379" w:rsidR="00D70F91" w:rsidRDefault="00D70F91" w:rsidP="00BC3068">
      <w:pPr>
        <w:autoSpaceDE w:val="0"/>
        <w:autoSpaceDN w:val="0"/>
        <w:adjustRightInd w:val="0"/>
        <w:spacing w:after="0" w:line="360" w:lineRule="auto"/>
        <w:rPr>
          <w:sz w:val="24"/>
          <w:szCs w:val="24"/>
          <w:lang w:val="en-US"/>
        </w:rPr>
      </w:pPr>
      <w:r>
        <w:rPr>
          <w:sz w:val="24"/>
          <w:szCs w:val="24"/>
          <w:lang w:val="en-US"/>
        </w:rPr>
        <w:t xml:space="preserve">Organizer: </w:t>
      </w:r>
      <w:r w:rsidR="00EE514A">
        <w:rPr>
          <w:sz w:val="24"/>
          <w:szCs w:val="24"/>
          <w:lang w:val="en-US"/>
        </w:rPr>
        <w:t xml:space="preserve">Professor </w:t>
      </w:r>
      <w:r>
        <w:rPr>
          <w:sz w:val="24"/>
          <w:szCs w:val="24"/>
          <w:lang w:val="en-US"/>
        </w:rPr>
        <w:t xml:space="preserve">Ninni Wahlström, </w:t>
      </w:r>
      <w:r w:rsidRPr="00D70F91">
        <w:rPr>
          <w:sz w:val="24"/>
          <w:szCs w:val="24"/>
          <w:lang w:val="en-US"/>
        </w:rPr>
        <w:t>Linnaeus University</w:t>
      </w:r>
      <w:r w:rsidR="00EE514A">
        <w:rPr>
          <w:sz w:val="24"/>
          <w:szCs w:val="24"/>
          <w:lang w:val="en-US"/>
        </w:rPr>
        <w:t>, Sweden</w:t>
      </w:r>
    </w:p>
    <w:p w14:paraId="4F31EE14" w14:textId="247884BE" w:rsidR="00D70F91" w:rsidRDefault="00D70F91" w:rsidP="00BC3068">
      <w:pPr>
        <w:autoSpaceDE w:val="0"/>
        <w:autoSpaceDN w:val="0"/>
        <w:adjustRightInd w:val="0"/>
        <w:spacing w:after="0" w:line="360" w:lineRule="auto"/>
        <w:rPr>
          <w:sz w:val="24"/>
          <w:szCs w:val="24"/>
          <w:lang w:val="en-US"/>
        </w:rPr>
      </w:pPr>
      <w:r>
        <w:rPr>
          <w:sz w:val="24"/>
          <w:szCs w:val="24"/>
          <w:lang w:val="en-US"/>
        </w:rPr>
        <w:t>Discussant:</w:t>
      </w:r>
      <w:r w:rsidR="00EE514A">
        <w:rPr>
          <w:sz w:val="24"/>
          <w:szCs w:val="24"/>
          <w:lang w:val="en-US"/>
        </w:rPr>
        <w:t xml:space="preserve"> Professor Daniel Pettersson, University of Gävle, Sweden</w:t>
      </w:r>
    </w:p>
    <w:p w14:paraId="26AC6E76" w14:textId="4D651418" w:rsidR="00D70F91" w:rsidRDefault="00D70F91" w:rsidP="00BC3068">
      <w:pPr>
        <w:autoSpaceDE w:val="0"/>
        <w:autoSpaceDN w:val="0"/>
        <w:adjustRightInd w:val="0"/>
        <w:spacing w:after="0" w:line="360" w:lineRule="auto"/>
        <w:rPr>
          <w:sz w:val="24"/>
          <w:szCs w:val="24"/>
          <w:lang w:val="en-US"/>
        </w:rPr>
      </w:pPr>
    </w:p>
    <w:p w14:paraId="6CC6E3D0" w14:textId="3E494B50" w:rsidR="00B85505" w:rsidRPr="00B85505" w:rsidRDefault="008333A8" w:rsidP="00B85505">
      <w:pPr>
        <w:rPr>
          <w:rFonts w:ascii="Times New Roman" w:eastAsia="Times New Roman" w:hAnsi="Times New Roman" w:cs="Times New Roman"/>
          <w:color w:val="auto"/>
          <w:sz w:val="24"/>
          <w:szCs w:val="24"/>
          <w:lang w:val="en-US" w:eastAsia="sv-SE"/>
        </w:rPr>
      </w:pPr>
      <w:r>
        <w:rPr>
          <w:i/>
          <w:iCs/>
          <w:sz w:val="24"/>
          <w:szCs w:val="24"/>
          <w:lang w:val="en-US"/>
        </w:rPr>
        <w:t>Session abstract</w:t>
      </w:r>
      <w:r w:rsidR="00B85505">
        <w:rPr>
          <w:i/>
          <w:iCs/>
          <w:sz w:val="24"/>
          <w:szCs w:val="24"/>
          <w:lang w:val="en-US"/>
        </w:rPr>
        <w:t xml:space="preserve"> </w:t>
      </w:r>
    </w:p>
    <w:p w14:paraId="405A3EEC" w14:textId="64D91ECB" w:rsidR="00CC60F9" w:rsidRPr="00CC5C20" w:rsidRDefault="00FC77BA" w:rsidP="00BC3068">
      <w:pPr>
        <w:autoSpaceDE w:val="0"/>
        <w:autoSpaceDN w:val="0"/>
        <w:adjustRightInd w:val="0"/>
        <w:spacing w:after="0" w:line="360" w:lineRule="auto"/>
        <w:rPr>
          <w:sz w:val="24"/>
          <w:szCs w:val="24"/>
          <w:lang w:val="en-US"/>
        </w:rPr>
      </w:pPr>
      <w:r>
        <w:rPr>
          <w:sz w:val="24"/>
          <w:szCs w:val="24"/>
          <w:lang w:val="en-US"/>
        </w:rPr>
        <w:t xml:space="preserve">The OECD has become an increasingly important </w:t>
      </w:r>
      <w:r w:rsidR="00176AEE">
        <w:rPr>
          <w:sz w:val="24"/>
          <w:szCs w:val="24"/>
          <w:lang w:val="en-US"/>
        </w:rPr>
        <w:t xml:space="preserve">international </w:t>
      </w:r>
      <w:r w:rsidR="00264C04">
        <w:rPr>
          <w:sz w:val="24"/>
          <w:szCs w:val="24"/>
          <w:lang w:val="en-US"/>
        </w:rPr>
        <w:t>organization</w:t>
      </w:r>
      <w:r>
        <w:rPr>
          <w:sz w:val="24"/>
          <w:szCs w:val="24"/>
          <w:lang w:val="en-US"/>
        </w:rPr>
        <w:t xml:space="preserve"> in Nordic education</w:t>
      </w:r>
      <w:r w:rsidR="002F0D67">
        <w:rPr>
          <w:sz w:val="24"/>
          <w:szCs w:val="24"/>
          <w:lang w:val="en-US"/>
        </w:rPr>
        <w:t>al</w:t>
      </w:r>
      <w:r>
        <w:rPr>
          <w:sz w:val="24"/>
          <w:szCs w:val="24"/>
          <w:lang w:val="en-US"/>
        </w:rPr>
        <w:t xml:space="preserve"> </w:t>
      </w:r>
      <w:r w:rsidR="002F0D67">
        <w:rPr>
          <w:sz w:val="24"/>
          <w:szCs w:val="24"/>
          <w:lang w:val="en-US"/>
        </w:rPr>
        <w:t>policymaking</w:t>
      </w:r>
      <w:r>
        <w:rPr>
          <w:sz w:val="24"/>
          <w:szCs w:val="24"/>
          <w:lang w:val="en-US"/>
        </w:rPr>
        <w:t xml:space="preserve">. </w:t>
      </w:r>
      <w:r w:rsidR="000641DB">
        <w:rPr>
          <w:sz w:val="24"/>
          <w:szCs w:val="24"/>
          <w:lang w:val="en-US"/>
        </w:rPr>
        <w:t>Therefore, a</w:t>
      </w:r>
      <w:r w:rsidR="00717C6A">
        <w:rPr>
          <w:sz w:val="24"/>
          <w:szCs w:val="24"/>
          <w:lang w:val="en-US"/>
        </w:rPr>
        <w:t xml:space="preserve">nalyzing </w:t>
      </w:r>
      <w:r w:rsidR="00E9348F">
        <w:rPr>
          <w:sz w:val="24"/>
          <w:szCs w:val="24"/>
          <w:lang w:val="en-US"/>
        </w:rPr>
        <w:t xml:space="preserve">its effect </w:t>
      </w:r>
      <w:r w:rsidR="00717C6A">
        <w:rPr>
          <w:sz w:val="24"/>
          <w:szCs w:val="24"/>
          <w:lang w:val="en-US"/>
        </w:rPr>
        <w:t xml:space="preserve">on educational </w:t>
      </w:r>
      <w:r w:rsidR="00F51A55">
        <w:rPr>
          <w:sz w:val="24"/>
          <w:szCs w:val="24"/>
          <w:lang w:val="en-US"/>
        </w:rPr>
        <w:t xml:space="preserve">systems in the Nordic </w:t>
      </w:r>
      <w:r w:rsidR="00264C04">
        <w:rPr>
          <w:sz w:val="24"/>
          <w:szCs w:val="24"/>
          <w:lang w:val="en-US"/>
        </w:rPr>
        <w:t>countries</w:t>
      </w:r>
      <w:r w:rsidR="00F51A55">
        <w:rPr>
          <w:sz w:val="24"/>
          <w:szCs w:val="24"/>
          <w:lang w:val="en-US"/>
        </w:rPr>
        <w:t xml:space="preserve"> has become an important task for educational research. </w:t>
      </w:r>
      <w:r w:rsidR="000B4751">
        <w:rPr>
          <w:sz w:val="24"/>
          <w:szCs w:val="24"/>
          <w:lang w:val="en-US"/>
        </w:rPr>
        <w:t xml:space="preserve">This session is made up of three presentations </w:t>
      </w:r>
      <w:r w:rsidR="003C683C">
        <w:rPr>
          <w:sz w:val="24"/>
          <w:szCs w:val="24"/>
          <w:lang w:val="en-US"/>
        </w:rPr>
        <w:t xml:space="preserve">from joint comparative research project </w:t>
      </w:r>
      <w:r w:rsidR="000B4751">
        <w:rPr>
          <w:sz w:val="24"/>
          <w:szCs w:val="24"/>
          <w:lang w:val="en-US"/>
        </w:rPr>
        <w:t xml:space="preserve">addressing this </w:t>
      </w:r>
      <w:r w:rsidR="009F4455">
        <w:rPr>
          <w:sz w:val="24"/>
          <w:szCs w:val="24"/>
          <w:lang w:val="en-US"/>
        </w:rPr>
        <w:t>topic</w:t>
      </w:r>
      <w:r w:rsidR="003C683C">
        <w:rPr>
          <w:sz w:val="24"/>
          <w:szCs w:val="24"/>
          <w:lang w:val="en-US"/>
        </w:rPr>
        <w:t xml:space="preserve"> from </w:t>
      </w:r>
      <w:r w:rsidR="000B4751">
        <w:rPr>
          <w:sz w:val="24"/>
          <w:szCs w:val="24"/>
          <w:lang w:val="en-US"/>
        </w:rPr>
        <w:t xml:space="preserve">different theoretical and empirical </w:t>
      </w:r>
      <w:r w:rsidR="003C683C">
        <w:rPr>
          <w:sz w:val="24"/>
          <w:szCs w:val="24"/>
          <w:lang w:val="en-US"/>
        </w:rPr>
        <w:t>perspectives</w:t>
      </w:r>
      <w:r w:rsidR="000B4751">
        <w:rPr>
          <w:sz w:val="24"/>
          <w:szCs w:val="24"/>
          <w:lang w:val="en-US"/>
        </w:rPr>
        <w:t xml:space="preserve">. Despite similarities among the Nordic countries </w:t>
      </w:r>
      <w:r w:rsidR="003C683C">
        <w:rPr>
          <w:sz w:val="24"/>
          <w:szCs w:val="24"/>
          <w:lang w:val="en-US"/>
        </w:rPr>
        <w:t xml:space="preserve">the results </w:t>
      </w:r>
      <w:r w:rsidR="00225D07">
        <w:rPr>
          <w:sz w:val="24"/>
          <w:szCs w:val="24"/>
          <w:lang w:val="en-US"/>
        </w:rPr>
        <w:t>show</w:t>
      </w:r>
      <w:r w:rsidR="00535952">
        <w:rPr>
          <w:sz w:val="24"/>
          <w:szCs w:val="24"/>
          <w:lang w:val="en-US"/>
        </w:rPr>
        <w:t xml:space="preserve"> that </w:t>
      </w:r>
      <w:r w:rsidR="009F4455">
        <w:rPr>
          <w:sz w:val="24"/>
          <w:szCs w:val="24"/>
          <w:lang w:val="en-US"/>
        </w:rPr>
        <w:t>there are</w:t>
      </w:r>
      <w:r w:rsidR="00B737E1">
        <w:rPr>
          <w:sz w:val="24"/>
          <w:szCs w:val="24"/>
          <w:lang w:val="en-US"/>
        </w:rPr>
        <w:t xml:space="preserve"> </w:t>
      </w:r>
      <w:r w:rsidR="00225D07">
        <w:rPr>
          <w:sz w:val="24"/>
          <w:szCs w:val="24"/>
          <w:lang w:val="en-US"/>
        </w:rPr>
        <w:t xml:space="preserve">also </w:t>
      </w:r>
      <w:r w:rsidR="00B737E1">
        <w:rPr>
          <w:sz w:val="24"/>
          <w:szCs w:val="24"/>
          <w:lang w:val="en-US"/>
        </w:rPr>
        <w:t>many</w:t>
      </w:r>
      <w:r w:rsidR="00535952">
        <w:rPr>
          <w:sz w:val="24"/>
          <w:szCs w:val="24"/>
          <w:lang w:val="en-US"/>
        </w:rPr>
        <w:t xml:space="preserve"> </w:t>
      </w:r>
      <w:r w:rsidR="003C683C">
        <w:rPr>
          <w:sz w:val="24"/>
          <w:szCs w:val="24"/>
          <w:lang w:val="en-US"/>
        </w:rPr>
        <w:t xml:space="preserve">contextual </w:t>
      </w:r>
      <w:r w:rsidR="009F4455">
        <w:rPr>
          <w:sz w:val="24"/>
          <w:szCs w:val="24"/>
          <w:lang w:val="en-US"/>
        </w:rPr>
        <w:t xml:space="preserve">and political </w:t>
      </w:r>
      <w:r w:rsidR="003C683C">
        <w:rPr>
          <w:sz w:val="24"/>
          <w:szCs w:val="24"/>
          <w:lang w:val="en-US"/>
        </w:rPr>
        <w:t>differences</w:t>
      </w:r>
      <w:r w:rsidR="00B737E1">
        <w:rPr>
          <w:sz w:val="24"/>
          <w:szCs w:val="24"/>
          <w:lang w:val="en-US"/>
        </w:rPr>
        <w:t xml:space="preserve"> </w:t>
      </w:r>
      <w:r w:rsidR="003C683C">
        <w:rPr>
          <w:sz w:val="24"/>
          <w:szCs w:val="24"/>
          <w:lang w:val="en-US"/>
        </w:rPr>
        <w:t>affect</w:t>
      </w:r>
      <w:r w:rsidR="00B737E1">
        <w:rPr>
          <w:sz w:val="24"/>
          <w:szCs w:val="24"/>
          <w:lang w:val="en-US"/>
        </w:rPr>
        <w:t>ing</w:t>
      </w:r>
      <w:r w:rsidR="003C683C">
        <w:rPr>
          <w:sz w:val="24"/>
          <w:szCs w:val="24"/>
          <w:lang w:val="en-US"/>
        </w:rPr>
        <w:t xml:space="preserve"> the role that the OECD </w:t>
      </w:r>
      <w:r w:rsidR="00B737E1">
        <w:rPr>
          <w:sz w:val="24"/>
          <w:szCs w:val="24"/>
          <w:lang w:val="en-US"/>
        </w:rPr>
        <w:t>get to</w:t>
      </w:r>
      <w:r w:rsidR="00535952">
        <w:rPr>
          <w:sz w:val="24"/>
          <w:szCs w:val="24"/>
          <w:lang w:val="en-US"/>
        </w:rPr>
        <w:t xml:space="preserve"> play </w:t>
      </w:r>
      <w:r w:rsidR="003C683C">
        <w:rPr>
          <w:sz w:val="24"/>
          <w:szCs w:val="24"/>
          <w:lang w:val="en-US"/>
        </w:rPr>
        <w:t xml:space="preserve">in domestic </w:t>
      </w:r>
      <w:r w:rsidR="00535952">
        <w:rPr>
          <w:sz w:val="24"/>
          <w:szCs w:val="24"/>
          <w:lang w:val="en-US"/>
        </w:rPr>
        <w:t>politics</w:t>
      </w:r>
      <w:r w:rsidR="003C683C">
        <w:rPr>
          <w:sz w:val="24"/>
          <w:szCs w:val="24"/>
          <w:lang w:val="en-US"/>
        </w:rPr>
        <w:t>.</w:t>
      </w:r>
      <w:r w:rsidR="00535952">
        <w:rPr>
          <w:sz w:val="24"/>
          <w:szCs w:val="24"/>
          <w:lang w:val="en-US"/>
        </w:rPr>
        <w:t xml:space="preserve"> </w:t>
      </w:r>
      <w:r w:rsidR="009F4455">
        <w:rPr>
          <w:sz w:val="24"/>
          <w:szCs w:val="24"/>
          <w:lang w:val="en-US"/>
        </w:rPr>
        <w:t xml:space="preserve">In </w:t>
      </w:r>
      <w:r w:rsidR="00225D07">
        <w:rPr>
          <w:sz w:val="24"/>
          <w:szCs w:val="24"/>
          <w:lang w:val="en-US"/>
        </w:rPr>
        <w:t>addition,</w:t>
      </w:r>
      <w:r w:rsidR="009F4455">
        <w:rPr>
          <w:sz w:val="24"/>
          <w:szCs w:val="24"/>
          <w:lang w:val="en-US"/>
        </w:rPr>
        <w:t xml:space="preserve"> the results shed light </w:t>
      </w:r>
      <w:r w:rsidR="00225D07">
        <w:rPr>
          <w:sz w:val="24"/>
          <w:szCs w:val="24"/>
          <w:lang w:val="en-US"/>
        </w:rPr>
        <w:t xml:space="preserve">on how </w:t>
      </w:r>
      <w:r w:rsidR="009F4455">
        <w:rPr>
          <w:sz w:val="24"/>
          <w:szCs w:val="24"/>
          <w:lang w:val="en-US"/>
        </w:rPr>
        <w:t>n</w:t>
      </w:r>
      <w:r w:rsidR="00535952">
        <w:rPr>
          <w:sz w:val="24"/>
          <w:szCs w:val="24"/>
          <w:lang w:val="en-US"/>
        </w:rPr>
        <w:t xml:space="preserve">ational politicians use the OECD and its resources highly selectively, </w:t>
      </w:r>
      <w:r w:rsidR="00B737E1">
        <w:rPr>
          <w:sz w:val="24"/>
          <w:szCs w:val="24"/>
          <w:lang w:val="en-US"/>
        </w:rPr>
        <w:t>and in way</w:t>
      </w:r>
      <w:r w:rsidR="009F4455">
        <w:rPr>
          <w:sz w:val="24"/>
          <w:szCs w:val="24"/>
          <w:lang w:val="en-US"/>
        </w:rPr>
        <w:t>s</w:t>
      </w:r>
      <w:r w:rsidR="00B737E1">
        <w:rPr>
          <w:sz w:val="24"/>
          <w:szCs w:val="24"/>
          <w:lang w:val="en-US"/>
        </w:rPr>
        <w:t xml:space="preserve"> that </w:t>
      </w:r>
      <w:r w:rsidR="008E4BEA">
        <w:rPr>
          <w:sz w:val="24"/>
          <w:szCs w:val="24"/>
          <w:lang w:val="en-US"/>
        </w:rPr>
        <w:t xml:space="preserve">tend to </w:t>
      </w:r>
      <w:r w:rsidR="00B737E1">
        <w:rPr>
          <w:sz w:val="24"/>
          <w:szCs w:val="24"/>
          <w:lang w:val="en-US"/>
        </w:rPr>
        <w:t xml:space="preserve">lend legitimacy to their </w:t>
      </w:r>
      <w:r w:rsidR="00225D07">
        <w:rPr>
          <w:sz w:val="24"/>
          <w:szCs w:val="24"/>
          <w:lang w:val="en-US"/>
        </w:rPr>
        <w:t xml:space="preserve">own </w:t>
      </w:r>
      <w:r w:rsidR="00B737E1">
        <w:rPr>
          <w:sz w:val="24"/>
          <w:szCs w:val="24"/>
          <w:lang w:val="en-US"/>
        </w:rPr>
        <w:t>political agenda</w:t>
      </w:r>
      <w:r w:rsidR="00225D07">
        <w:rPr>
          <w:sz w:val="24"/>
          <w:szCs w:val="24"/>
          <w:lang w:val="en-US"/>
        </w:rPr>
        <w:t>s</w:t>
      </w:r>
      <w:r w:rsidR="00B737E1">
        <w:rPr>
          <w:sz w:val="24"/>
          <w:szCs w:val="24"/>
          <w:lang w:val="en-US"/>
        </w:rPr>
        <w:t xml:space="preserve">. </w:t>
      </w:r>
    </w:p>
    <w:p w14:paraId="265D7498" w14:textId="77777777" w:rsidR="008333A8" w:rsidRPr="00CC5C20" w:rsidRDefault="008333A8" w:rsidP="008333A8">
      <w:pPr>
        <w:rPr>
          <w:lang w:val="en-US"/>
        </w:rPr>
      </w:pPr>
    </w:p>
    <w:p w14:paraId="0D865534" w14:textId="099C5492" w:rsidR="008333A8" w:rsidRPr="00224E4D" w:rsidRDefault="008333A8" w:rsidP="00BC3068">
      <w:pPr>
        <w:autoSpaceDE w:val="0"/>
        <w:autoSpaceDN w:val="0"/>
        <w:adjustRightInd w:val="0"/>
        <w:spacing w:after="0" w:line="360" w:lineRule="auto"/>
        <w:rPr>
          <w:i/>
          <w:iCs/>
          <w:sz w:val="24"/>
          <w:szCs w:val="24"/>
          <w:lang w:val="en-US"/>
        </w:rPr>
      </w:pPr>
      <w:r w:rsidRPr="00224E4D">
        <w:rPr>
          <w:i/>
          <w:iCs/>
          <w:sz w:val="24"/>
          <w:szCs w:val="24"/>
          <w:lang w:val="en-US"/>
        </w:rPr>
        <w:t>Session summary</w:t>
      </w:r>
    </w:p>
    <w:p w14:paraId="162EF3DA" w14:textId="77777777" w:rsidR="003B057F" w:rsidRDefault="00360436" w:rsidP="00BC3068">
      <w:pPr>
        <w:autoSpaceDE w:val="0"/>
        <w:autoSpaceDN w:val="0"/>
        <w:adjustRightInd w:val="0"/>
        <w:spacing w:after="0" w:line="360" w:lineRule="auto"/>
        <w:rPr>
          <w:sz w:val="24"/>
          <w:szCs w:val="24"/>
          <w:lang w:val="en-US"/>
        </w:rPr>
      </w:pPr>
      <w:r w:rsidRPr="00360436">
        <w:rPr>
          <w:sz w:val="24"/>
          <w:szCs w:val="24"/>
          <w:lang w:val="en-US"/>
        </w:rPr>
        <w:t xml:space="preserve">During the last years, three research environments from Oslo University, Norway, Linnaeus University, Sweden and Aalborg University, Denmark, together with colleagues from Finland and Iceland, have collaborated on education policy research in the Nordic countries. </w:t>
      </w:r>
      <w:r w:rsidR="008A7268" w:rsidRPr="00B30F48">
        <w:rPr>
          <w:sz w:val="24"/>
          <w:szCs w:val="24"/>
          <w:lang w:val="en-US"/>
        </w:rPr>
        <w:t xml:space="preserve">The comparative studies in the network have focused on what counts as evidence for policymakers and what role various types of expertise play in policymaking processes. The result of this collaboration is presented in a recent publication titled </w:t>
      </w:r>
      <w:r w:rsidR="00E02236" w:rsidRPr="00B30F48">
        <w:rPr>
          <w:i/>
          <w:iCs/>
          <w:sz w:val="24"/>
          <w:szCs w:val="24"/>
          <w:lang w:val="en-US"/>
        </w:rPr>
        <w:t xml:space="preserve">Evidence and Expertise </w:t>
      </w:r>
      <w:r w:rsidR="00A11879" w:rsidRPr="00B30F48">
        <w:rPr>
          <w:i/>
          <w:iCs/>
          <w:sz w:val="24"/>
          <w:szCs w:val="24"/>
          <w:lang w:val="en-US"/>
        </w:rPr>
        <w:t xml:space="preserve">in Nordic Education Policy </w:t>
      </w:r>
      <w:r w:rsidR="00A11879" w:rsidRPr="00B30F48">
        <w:rPr>
          <w:sz w:val="24"/>
          <w:szCs w:val="24"/>
          <w:lang w:val="en-US"/>
        </w:rPr>
        <w:t>edited by B. Karseth, K. Sivesind and G Steiner-Khamsi</w:t>
      </w:r>
      <w:r w:rsidR="00B30F48" w:rsidRPr="00B30F48">
        <w:rPr>
          <w:sz w:val="24"/>
          <w:szCs w:val="24"/>
          <w:lang w:val="en-US"/>
        </w:rPr>
        <w:t xml:space="preserve"> (2022). </w:t>
      </w:r>
    </w:p>
    <w:p w14:paraId="5A049F38" w14:textId="76A5B97A" w:rsidR="00E54FFE" w:rsidRDefault="00B30F48" w:rsidP="004F1D5E">
      <w:pPr>
        <w:autoSpaceDE w:val="0"/>
        <w:autoSpaceDN w:val="0"/>
        <w:adjustRightInd w:val="0"/>
        <w:spacing w:after="0" w:line="360" w:lineRule="auto"/>
        <w:ind w:firstLine="567"/>
        <w:rPr>
          <w:rFonts w:asciiTheme="majorHAnsi" w:hAnsiTheme="majorHAnsi" w:cstheme="majorHAnsi"/>
          <w:sz w:val="24"/>
          <w:szCs w:val="24"/>
          <w:lang w:val="en-US"/>
        </w:rPr>
      </w:pPr>
      <w:r w:rsidRPr="00B30F48">
        <w:rPr>
          <w:sz w:val="24"/>
          <w:szCs w:val="24"/>
          <w:lang w:val="en-US"/>
        </w:rPr>
        <w:t>In th</w:t>
      </w:r>
      <w:r w:rsidR="0040564D">
        <w:rPr>
          <w:sz w:val="24"/>
          <w:szCs w:val="24"/>
          <w:lang w:val="en-US"/>
        </w:rPr>
        <w:t>e present</w:t>
      </w:r>
      <w:r w:rsidRPr="00B30F48">
        <w:rPr>
          <w:sz w:val="24"/>
          <w:szCs w:val="24"/>
          <w:lang w:val="en-US"/>
        </w:rPr>
        <w:t xml:space="preserve"> symposium</w:t>
      </w:r>
      <w:r w:rsidR="006260E2">
        <w:rPr>
          <w:sz w:val="24"/>
          <w:szCs w:val="24"/>
          <w:lang w:val="en-US"/>
        </w:rPr>
        <w:t>,</w:t>
      </w:r>
      <w:r w:rsidRPr="00B30F48">
        <w:rPr>
          <w:sz w:val="24"/>
          <w:szCs w:val="24"/>
          <w:lang w:val="en-US"/>
        </w:rPr>
        <w:t xml:space="preserve"> </w:t>
      </w:r>
      <w:r w:rsidR="006260E2">
        <w:rPr>
          <w:rStyle w:val="q4iawc"/>
          <w:sz w:val="24"/>
          <w:szCs w:val="24"/>
          <w:lang w:val="en"/>
        </w:rPr>
        <w:t>the purpose is to explore</w:t>
      </w:r>
      <w:r w:rsidRPr="00B30F48">
        <w:rPr>
          <w:rStyle w:val="q4iawc"/>
          <w:sz w:val="24"/>
          <w:szCs w:val="24"/>
          <w:lang w:val="en"/>
        </w:rPr>
        <w:t xml:space="preserve"> how </w:t>
      </w:r>
      <w:r w:rsidR="00305172">
        <w:rPr>
          <w:rStyle w:val="q4iawc"/>
          <w:sz w:val="24"/>
          <w:szCs w:val="24"/>
          <w:lang w:val="en"/>
        </w:rPr>
        <w:t xml:space="preserve">the </w:t>
      </w:r>
      <w:r w:rsidRPr="00B30F48">
        <w:rPr>
          <w:rStyle w:val="q4iawc"/>
          <w:sz w:val="24"/>
          <w:szCs w:val="24"/>
          <w:lang w:val="en"/>
        </w:rPr>
        <w:t>th</w:t>
      </w:r>
      <w:r w:rsidR="006260E2">
        <w:rPr>
          <w:rStyle w:val="q4iawc"/>
          <w:sz w:val="24"/>
          <w:szCs w:val="24"/>
          <w:lang w:val="en"/>
        </w:rPr>
        <w:t>ree</w:t>
      </w:r>
      <w:r w:rsidRPr="00B30F48">
        <w:rPr>
          <w:rStyle w:val="q4iawc"/>
          <w:sz w:val="24"/>
          <w:szCs w:val="24"/>
          <w:lang w:val="en"/>
        </w:rPr>
        <w:t xml:space="preserve"> </w:t>
      </w:r>
      <w:r>
        <w:rPr>
          <w:rStyle w:val="q4iawc"/>
          <w:sz w:val="24"/>
          <w:szCs w:val="24"/>
          <w:lang w:val="en"/>
        </w:rPr>
        <w:t>N</w:t>
      </w:r>
      <w:r w:rsidRPr="00B30F48">
        <w:rPr>
          <w:rStyle w:val="q4iawc"/>
          <w:sz w:val="24"/>
          <w:szCs w:val="24"/>
          <w:lang w:val="en"/>
        </w:rPr>
        <w:t xml:space="preserve">ordic countries </w:t>
      </w:r>
      <w:r w:rsidR="00305172">
        <w:rPr>
          <w:rStyle w:val="q4iawc"/>
          <w:sz w:val="24"/>
          <w:szCs w:val="24"/>
          <w:lang w:val="en"/>
        </w:rPr>
        <w:t xml:space="preserve">Norway, Denmark and Sweden </w:t>
      </w:r>
      <w:r w:rsidRPr="00575F6D">
        <w:rPr>
          <w:rStyle w:val="q4iawc"/>
          <w:sz w:val="24"/>
          <w:szCs w:val="24"/>
          <w:lang w:val="en"/>
        </w:rPr>
        <w:t xml:space="preserve">relate to </w:t>
      </w:r>
      <w:r w:rsidRPr="00575F6D">
        <w:rPr>
          <w:sz w:val="24"/>
          <w:szCs w:val="24"/>
          <w:lang w:val="en-US"/>
        </w:rPr>
        <w:t>the Organisation for Economic Co-operation and Development (OECD)</w:t>
      </w:r>
      <w:r w:rsidRPr="00575F6D">
        <w:rPr>
          <w:rStyle w:val="q4iawc"/>
          <w:sz w:val="24"/>
          <w:szCs w:val="24"/>
          <w:lang w:val="en"/>
        </w:rPr>
        <w:t xml:space="preserve"> </w:t>
      </w:r>
      <w:r w:rsidRPr="00B30F48">
        <w:rPr>
          <w:rStyle w:val="q4iawc"/>
          <w:sz w:val="24"/>
          <w:szCs w:val="24"/>
          <w:lang w:val="en"/>
        </w:rPr>
        <w:t>as an externally influential partner and expert</w:t>
      </w:r>
      <w:r w:rsidR="00305172">
        <w:rPr>
          <w:rStyle w:val="q4iawc"/>
          <w:sz w:val="24"/>
          <w:szCs w:val="24"/>
          <w:lang w:val="en"/>
        </w:rPr>
        <w:t xml:space="preserve"> for </w:t>
      </w:r>
      <w:r w:rsidR="00581C36">
        <w:rPr>
          <w:rStyle w:val="q4iawc"/>
          <w:sz w:val="24"/>
          <w:szCs w:val="24"/>
          <w:lang w:val="en"/>
        </w:rPr>
        <w:t xml:space="preserve">national </w:t>
      </w:r>
      <w:r w:rsidR="00305172">
        <w:rPr>
          <w:rStyle w:val="q4iawc"/>
          <w:sz w:val="24"/>
          <w:szCs w:val="24"/>
          <w:lang w:val="en"/>
        </w:rPr>
        <w:t>school reforms</w:t>
      </w:r>
      <w:r w:rsidRPr="00BC3068">
        <w:rPr>
          <w:rStyle w:val="q4iawc"/>
          <w:rFonts w:asciiTheme="majorHAnsi" w:hAnsiTheme="majorHAnsi" w:cstheme="majorHAnsi"/>
          <w:sz w:val="24"/>
          <w:szCs w:val="24"/>
          <w:lang w:val="en"/>
        </w:rPr>
        <w:t>.</w:t>
      </w:r>
      <w:r w:rsidR="00A11879" w:rsidRPr="00BC3068">
        <w:rPr>
          <w:rFonts w:asciiTheme="majorHAnsi" w:hAnsiTheme="majorHAnsi" w:cstheme="majorHAnsi"/>
          <w:sz w:val="24"/>
          <w:szCs w:val="24"/>
          <w:lang w:val="en-US"/>
        </w:rPr>
        <w:t xml:space="preserve"> </w:t>
      </w:r>
      <w:r w:rsidR="00D82E29">
        <w:rPr>
          <w:rFonts w:asciiTheme="majorHAnsi" w:hAnsiTheme="majorHAnsi" w:cstheme="majorHAnsi"/>
          <w:sz w:val="24"/>
          <w:szCs w:val="24"/>
          <w:lang w:val="en-US"/>
        </w:rPr>
        <w:t>To understand how education reforms “travel” between different policy arenas at different levels in a globalized policy landscape the terms of policy learning and policy reception become central (Steiner-Khamsi, 2013</w:t>
      </w:r>
      <w:r w:rsidR="0040564D">
        <w:rPr>
          <w:rFonts w:asciiTheme="majorHAnsi" w:hAnsiTheme="majorHAnsi" w:cstheme="majorHAnsi"/>
          <w:sz w:val="24"/>
          <w:szCs w:val="24"/>
          <w:lang w:val="en-US"/>
        </w:rPr>
        <w:t>; Verger, 2014; Waldow &amp; Steiner-Khamsi, 2019</w:t>
      </w:r>
      <w:r w:rsidR="00D82E29">
        <w:rPr>
          <w:rFonts w:asciiTheme="majorHAnsi" w:hAnsiTheme="majorHAnsi" w:cstheme="majorHAnsi"/>
          <w:sz w:val="24"/>
          <w:szCs w:val="24"/>
          <w:lang w:val="en-US"/>
        </w:rPr>
        <w:t xml:space="preserve">). </w:t>
      </w:r>
      <w:r w:rsidR="005F463F" w:rsidRPr="005F463F">
        <w:rPr>
          <w:rFonts w:asciiTheme="majorHAnsi" w:hAnsiTheme="majorHAnsi" w:cstheme="majorHAnsi"/>
          <w:sz w:val="24"/>
          <w:szCs w:val="24"/>
          <w:lang w:val="en-US"/>
        </w:rPr>
        <w:t xml:space="preserve">Extensive research that has explored the policy of borrowing "from below" has shown that borrowing is not a question of unilateral and complete influence from a central to a local </w:t>
      </w:r>
      <w:r w:rsidR="005F463F" w:rsidRPr="005F463F">
        <w:rPr>
          <w:rFonts w:asciiTheme="majorHAnsi" w:hAnsiTheme="majorHAnsi" w:cstheme="majorHAnsi"/>
          <w:sz w:val="24"/>
          <w:szCs w:val="24"/>
          <w:lang w:val="en-US"/>
        </w:rPr>
        <w:lastRenderedPageBreak/>
        <w:t>level</w:t>
      </w:r>
      <w:r w:rsidR="005F463F">
        <w:rPr>
          <w:rFonts w:asciiTheme="majorHAnsi" w:hAnsiTheme="majorHAnsi" w:cstheme="majorHAnsi"/>
          <w:sz w:val="24"/>
          <w:szCs w:val="24"/>
          <w:lang w:val="en-US"/>
        </w:rPr>
        <w:t xml:space="preserve">. </w:t>
      </w:r>
      <w:r w:rsidR="005F463F" w:rsidRPr="005F463F">
        <w:rPr>
          <w:rFonts w:asciiTheme="majorHAnsi" w:hAnsiTheme="majorHAnsi" w:cstheme="majorHAnsi"/>
          <w:sz w:val="24"/>
          <w:szCs w:val="24"/>
          <w:lang w:val="en-US"/>
        </w:rPr>
        <w:t xml:space="preserve">Instead, borrowing is used for in order to achieve different national purposes for education policy. Different countries select certain policy elements for borrowing, while other elements become rejected or subordinated </w:t>
      </w:r>
      <w:r w:rsidR="00A45F3B" w:rsidRPr="006B61CF">
        <w:rPr>
          <w:rFonts w:asciiTheme="majorHAnsi" w:hAnsiTheme="majorHAnsi" w:cstheme="majorHAnsi"/>
          <w:sz w:val="24"/>
          <w:szCs w:val="24"/>
          <w:lang w:val="en-US"/>
        </w:rPr>
        <w:t xml:space="preserve">(Steiner-Khamsi 2016; </w:t>
      </w:r>
      <w:r w:rsidR="006D3CDA" w:rsidRPr="006B61CF">
        <w:rPr>
          <w:rFonts w:asciiTheme="majorHAnsi" w:hAnsiTheme="majorHAnsi" w:cstheme="majorHAnsi"/>
          <w:sz w:val="24"/>
          <w:szCs w:val="24"/>
          <w:lang w:val="en-US"/>
        </w:rPr>
        <w:t xml:space="preserve">Sivesind; Afsar &amp; Bachmann, 2016; </w:t>
      </w:r>
      <w:r w:rsidR="00831D36" w:rsidRPr="006B61CF">
        <w:rPr>
          <w:sz w:val="24"/>
          <w:szCs w:val="24"/>
          <w:lang w:val="en-US"/>
        </w:rPr>
        <w:t>Mølstad</w:t>
      </w:r>
      <w:r w:rsidR="006B61CF" w:rsidRPr="006B61CF">
        <w:rPr>
          <w:sz w:val="24"/>
          <w:szCs w:val="24"/>
          <w:lang w:val="en-US"/>
        </w:rPr>
        <w:t xml:space="preserve"> &amp; </w:t>
      </w:r>
      <w:r w:rsidR="00831D36" w:rsidRPr="006B61CF">
        <w:rPr>
          <w:sz w:val="24"/>
          <w:szCs w:val="24"/>
          <w:lang w:val="en-US"/>
        </w:rPr>
        <w:t>Karseth</w:t>
      </w:r>
      <w:r w:rsidR="006B61CF" w:rsidRPr="006B61CF">
        <w:rPr>
          <w:sz w:val="24"/>
          <w:szCs w:val="24"/>
          <w:lang w:val="en-US"/>
        </w:rPr>
        <w:t>, 2016; Wahlström, 2020</w:t>
      </w:r>
      <w:r w:rsidR="00F85B00">
        <w:rPr>
          <w:sz w:val="24"/>
          <w:szCs w:val="24"/>
          <w:lang w:val="en-US"/>
        </w:rPr>
        <w:t xml:space="preserve">; </w:t>
      </w:r>
      <w:r w:rsidR="00F85B00" w:rsidRPr="00852CF5">
        <w:rPr>
          <w:rFonts w:ascii="Times New Roman" w:eastAsia="Times New Roman" w:hAnsi="Times New Roman" w:cs="Times New Roman"/>
          <w:color w:val="auto"/>
          <w:sz w:val="24"/>
          <w:szCs w:val="24"/>
          <w:lang w:val="en-US" w:eastAsia="sv-SE"/>
        </w:rPr>
        <w:t>Nordin</w:t>
      </w:r>
      <w:r w:rsidR="00F85B00">
        <w:rPr>
          <w:rFonts w:ascii="Times New Roman" w:eastAsia="Times New Roman" w:hAnsi="Times New Roman" w:cs="Times New Roman"/>
          <w:color w:val="auto"/>
          <w:sz w:val="24"/>
          <w:szCs w:val="24"/>
          <w:lang w:val="en-US" w:eastAsia="sv-SE"/>
        </w:rPr>
        <w:t xml:space="preserve"> &amp; </w:t>
      </w:r>
      <w:r w:rsidR="00F85B00" w:rsidRPr="00852CF5">
        <w:rPr>
          <w:rFonts w:ascii="Times New Roman" w:eastAsia="Times New Roman" w:hAnsi="Times New Roman" w:cs="Times New Roman"/>
          <w:color w:val="auto"/>
          <w:sz w:val="24"/>
          <w:szCs w:val="24"/>
          <w:lang w:val="en-US" w:eastAsia="sv-SE"/>
        </w:rPr>
        <w:t>Sundberg</w:t>
      </w:r>
      <w:r w:rsidR="00F85B00">
        <w:rPr>
          <w:rFonts w:ascii="Times New Roman" w:eastAsia="Times New Roman" w:hAnsi="Times New Roman" w:cs="Times New Roman"/>
          <w:color w:val="auto"/>
          <w:sz w:val="24"/>
          <w:szCs w:val="24"/>
          <w:lang w:val="en-US" w:eastAsia="sv-SE"/>
        </w:rPr>
        <w:t>, 2021).</w:t>
      </w:r>
    </w:p>
    <w:p w14:paraId="46718E92" w14:textId="729ABA91" w:rsidR="008A7268" w:rsidRDefault="0040564D" w:rsidP="0040564D">
      <w:pPr>
        <w:autoSpaceDE w:val="0"/>
        <w:autoSpaceDN w:val="0"/>
        <w:adjustRightInd w:val="0"/>
        <w:spacing w:after="0" w:line="360" w:lineRule="auto"/>
        <w:ind w:firstLine="567"/>
        <w:rPr>
          <w:rFonts w:asciiTheme="majorHAnsi" w:hAnsiTheme="majorHAnsi" w:cstheme="majorHAnsi"/>
          <w:sz w:val="24"/>
          <w:szCs w:val="24"/>
          <w:lang w:val="en-US"/>
        </w:rPr>
      </w:pPr>
      <w:r>
        <w:rPr>
          <w:rFonts w:asciiTheme="majorHAnsi" w:hAnsiTheme="majorHAnsi" w:cstheme="majorHAnsi"/>
          <w:sz w:val="24"/>
          <w:szCs w:val="24"/>
          <w:lang w:val="en-US"/>
        </w:rPr>
        <w:t>To</w:t>
      </w:r>
      <w:r w:rsidR="00E54FFE">
        <w:rPr>
          <w:rFonts w:asciiTheme="majorHAnsi" w:hAnsiTheme="majorHAnsi" w:cstheme="majorHAnsi"/>
          <w:sz w:val="24"/>
          <w:szCs w:val="24"/>
          <w:lang w:val="en-US"/>
        </w:rPr>
        <w:t xml:space="preserve"> explor</w:t>
      </w:r>
      <w:r>
        <w:rPr>
          <w:rFonts w:asciiTheme="majorHAnsi" w:hAnsiTheme="majorHAnsi" w:cstheme="majorHAnsi"/>
          <w:sz w:val="24"/>
          <w:szCs w:val="24"/>
          <w:lang w:val="en-US"/>
        </w:rPr>
        <w:t>e</w:t>
      </w:r>
      <w:r w:rsidR="00E54FFE">
        <w:rPr>
          <w:rFonts w:asciiTheme="majorHAnsi" w:hAnsiTheme="majorHAnsi" w:cstheme="majorHAnsi"/>
          <w:sz w:val="24"/>
          <w:szCs w:val="24"/>
          <w:lang w:val="en-US"/>
        </w:rPr>
        <w:t xml:space="preserve"> th</w:t>
      </w:r>
      <w:r w:rsidR="00461A08">
        <w:rPr>
          <w:rFonts w:asciiTheme="majorHAnsi" w:hAnsiTheme="majorHAnsi" w:cstheme="majorHAnsi"/>
          <w:sz w:val="24"/>
          <w:szCs w:val="24"/>
          <w:lang w:val="en-US"/>
        </w:rPr>
        <w:t>e</w:t>
      </w:r>
      <w:r w:rsidR="00E54FFE">
        <w:rPr>
          <w:rFonts w:asciiTheme="majorHAnsi" w:hAnsiTheme="majorHAnsi" w:cstheme="majorHAnsi"/>
          <w:sz w:val="24"/>
          <w:szCs w:val="24"/>
          <w:lang w:val="en-US"/>
        </w:rPr>
        <w:t xml:space="preserve"> phenomen</w:t>
      </w:r>
      <w:r w:rsidR="00461A08">
        <w:rPr>
          <w:rFonts w:asciiTheme="majorHAnsi" w:hAnsiTheme="majorHAnsi" w:cstheme="majorHAnsi"/>
          <w:sz w:val="24"/>
          <w:szCs w:val="24"/>
          <w:lang w:val="en-US"/>
        </w:rPr>
        <w:t>on of “selective borrowing” for the legitimization of national policy reforms, the researchers in this symposium make use of the theoretical concept of “externalization”</w:t>
      </w:r>
      <w:r w:rsidR="00C540EB">
        <w:rPr>
          <w:rFonts w:asciiTheme="majorHAnsi" w:hAnsiTheme="majorHAnsi" w:cstheme="majorHAnsi"/>
          <w:sz w:val="24"/>
          <w:szCs w:val="24"/>
          <w:lang w:val="en-US"/>
        </w:rPr>
        <w:t xml:space="preserve"> (Schriewer, 2003)</w:t>
      </w:r>
      <w:r w:rsidR="00461A08">
        <w:rPr>
          <w:rFonts w:asciiTheme="majorHAnsi" w:hAnsiTheme="majorHAnsi" w:cstheme="majorHAnsi"/>
          <w:sz w:val="24"/>
          <w:szCs w:val="24"/>
          <w:lang w:val="en-US"/>
        </w:rPr>
        <w:t xml:space="preserve">. </w:t>
      </w:r>
      <w:r w:rsidR="00C540EB" w:rsidRPr="00C540EB">
        <w:rPr>
          <w:rFonts w:asciiTheme="majorHAnsi" w:hAnsiTheme="majorHAnsi" w:cstheme="majorHAnsi"/>
          <w:sz w:val="24"/>
          <w:szCs w:val="24"/>
          <w:lang w:val="en-US"/>
        </w:rPr>
        <w:t>Externalization includes the selective description and interpretation of international phenomena for the legitimization of national issues of educational policy or of ideological legitimization of extensive reforms</w:t>
      </w:r>
      <w:r w:rsidR="00C540EB">
        <w:rPr>
          <w:rFonts w:asciiTheme="majorHAnsi" w:hAnsiTheme="majorHAnsi" w:cstheme="majorHAnsi"/>
          <w:sz w:val="24"/>
          <w:szCs w:val="24"/>
          <w:lang w:val="en-US"/>
        </w:rPr>
        <w:t>.</w:t>
      </w:r>
      <w:r w:rsidR="00C540EB" w:rsidRPr="00C540EB">
        <w:rPr>
          <w:rFonts w:asciiTheme="majorHAnsi" w:hAnsiTheme="majorHAnsi" w:cstheme="majorHAnsi"/>
          <w:sz w:val="24"/>
          <w:szCs w:val="24"/>
          <w:lang w:val="en-US"/>
        </w:rPr>
        <w:t xml:space="preserve"> </w:t>
      </w:r>
      <w:r w:rsidR="00FD3507" w:rsidRPr="00BC3068">
        <w:rPr>
          <w:rFonts w:asciiTheme="majorHAnsi" w:hAnsiTheme="majorHAnsi" w:cstheme="majorHAnsi"/>
          <w:sz w:val="24"/>
          <w:szCs w:val="24"/>
          <w:lang w:val="en-US"/>
        </w:rPr>
        <w:t>Th</w:t>
      </w:r>
      <w:r w:rsidR="00C540EB">
        <w:rPr>
          <w:rFonts w:asciiTheme="majorHAnsi" w:hAnsiTheme="majorHAnsi" w:cstheme="majorHAnsi"/>
          <w:sz w:val="24"/>
          <w:szCs w:val="24"/>
          <w:lang w:val="en-US"/>
        </w:rPr>
        <w:t>e</w:t>
      </w:r>
      <w:r w:rsidR="00FD3507" w:rsidRPr="00BC3068">
        <w:rPr>
          <w:rFonts w:asciiTheme="majorHAnsi" w:hAnsiTheme="majorHAnsi" w:cstheme="majorHAnsi"/>
          <w:sz w:val="24"/>
          <w:szCs w:val="24"/>
          <w:lang w:val="en-US"/>
        </w:rPr>
        <w:t xml:space="preserve"> term </w:t>
      </w:r>
      <w:r w:rsidR="00C540EB">
        <w:rPr>
          <w:rFonts w:asciiTheme="majorHAnsi" w:hAnsiTheme="majorHAnsi" w:cstheme="majorHAnsi"/>
          <w:sz w:val="24"/>
          <w:szCs w:val="24"/>
          <w:lang w:val="en-US"/>
        </w:rPr>
        <w:t xml:space="preserve">externalization </w:t>
      </w:r>
      <w:r w:rsidR="00FD3507" w:rsidRPr="00BC3068">
        <w:rPr>
          <w:rFonts w:asciiTheme="majorHAnsi" w:hAnsiTheme="majorHAnsi" w:cstheme="majorHAnsi"/>
          <w:sz w:val="24"/>
          <w:szCs w:val="24"/>
          <w:lang w:val="en-US"/>
        </w:rPr>
        <w:t>should</w:t>
      </w:r>
      <w:r w:rsidR="00C540EB">
        <w:rPr>
          <w:rFonts w:asciiTheme="majorHAnsi" w:hAnsiTheme="majorHAnsi" w:cstheme="majorHAnsi"/>
          <w:sz w:val="24"/>
          <w:szCs w:val="24"/>
          <w:lang w:val="en-US"/>
        </w:rPr>
        <w:t xml:space="preserve"> </w:t>
      </w:r>
      <w:r w:rsidR="00FD3507" w:rsidRPr="00BC3068">
        <w:rPr>
          <w:rFonts w:asciiTheme="majorHAnsi" w:hAnsiTheme="majorHAnsi" w:cstheme="majorHAnsi"/>
          <w:sz w:val="24"/>
          <w:szCs w:val="24"/>
          <w:lang w:val="en-US"/>
        </w:rPr>
        <w:t>not be understood as a description of international policy evidence or historical policy</w:t>
      </w:r>
      <w:r w:rsidR="00E73687">
        <w:rPr>
          <w:rFonts w:asciiTheme="majorHAnsi" w:hAnsiTheme="majorHAnsi" w:cstheme="majorHAnsi"/>
          <w:sz w:val="24"/>
          <w:szCs w:val="24"/>
          <w:lang w:val="en-US"/>
        </w:rPr>
        <w:t xml:space="preserve"> </w:t>
      </w:r>
      <w:r w:rsidR="00FD3507" w:rsidRPr="00BC3068">
        <w:rPr>
          <w:rFonts w:asciiTheme="majorHAnsi" w:hAnsiTheme="majorHAnsi" w:cstheme="majorHAnsi"/>
          <w:sz w:val="24"/>
          <w:szCs w:val="24"/>
          <w:lang w:val="en-US"/>
        </w:rPr>
        <w:t>developments as such but, rather, as filtering the reception and interpretation of international</w:t>
      </w:r>
      <w:r w:rsidR="00E73687">
        <w:rPr>
          <w:rFonts w:asciiTheme="majorHAnsi" w:hAnsiTheme="majorHAnsi" w:cstheme="majorHAnsi"/>
          <w:sz w:val="24"/>
          <w:szCs w:val="24"/>
          <w:lang w:val="en-US"/>
        </w:rPr>
        <w:t xml:space="preserve"> </w:t>
      </w:r>
      <w:r w:rsidR="00FD3507" w:rsidRPr="00BC3068">
        <w:rPr>
          <w:rFonts w:asciiTheme="majorHAnsi" w:hAnsiTheme="majorHAnsi" w:cstheme="majorHAnsi"/>
          <w:sz w:val="24"/>
          <w:szCs w:val="24"/>
          <w:lang w:val="en-US"/>
        </w:rPr>
        <w:t xml:space="preserve">policy movements in relation to the internal context of a </w:t>
      </w:r>
      <w:r w:rsidR="00E73687">
        <w:rPr>
          <w:rFonts w:asciiTheme="majorHAnsi" w:hAnsiTheme="majorHAnsi" w:cstheme="majorHAnsi"/>
          <w:sz w:val="24"/>
          <w:szCs w:val="24"/>
          <w:lang w:val="en-US"/>
        </w:rPr>
        <w:t>national policy</w:t>
      </w:r>
      <w:r w:rsidR="00FD3507" w:rsidRPr="00BC3068">
        <w:rPr>
          <w:rFonts w:asciiTheme="majorHAnsi" w:hAnsiTheme="majorHAnsi" w:cstheme="majorHAnsi"/>
          <w:sz w:val="24"/>
          <w:szCs w:val="24"/>
          <w:lang w:val="en-US"/>
        </w:rPr>
        <w:t xml:space="preserve"> system. Thus,</w:t>
      </w:r>
      <w:r w:rsidR="00E73687">
        <w:rPr>
          <w:rFonts w:asciiTheme="majorHAnsi" w:hAnsiTheme="majorHAnsi" w:cstheme="majorHAnsi"/>
          <w:sz w:val="24"/>
          <w:szCs w:val="24"/>
          <w:lang w:val="en-US"/>
        </w:rPr>
        <w:t xml:space="preserve"> </w:t>
      </w:r>
      <w:r w:rsidR="00FD3507" w:rsidRPr="00BC3068">
        <w:rPr>
          <w:rFonts w:asciiTheme="majorHAnsi" w:hAnsiTheme="majorHAnsi" w:cstheme="majorHAnsi"/>
          <w:sz w:val="24"/>
          <w:szCs w:val="24"/>
          <w:lang w:val="en-US"/>
        </w:rPr>
        <w:t>externalization is a consequence of the need for domestic education systems to reach</w:t>
      </w:r>
      <w:r w:rsidR="00E73687">
        <w:rPr>
          <w:rFonts w:asciiTheme="majorHAnsi" w:hAnsiTheme="majorHAnsi" w:cstheme="majorHAnsi"/>
          <w:sz w:val="24"/>
          <w:szCs w:val="24"/>
          <w:lang w:val="en-US"/>
        </w:rPr>
        <w:t xml:space="preserve"> </w:t>
      </w:r>
      <w:r w:rsidR="00FD3507" w:rsidRPr="00BC3068">
        <w:rPr>
          <w:rFonts w:asciiTheme="majorHAnsi" w:hAnsiTheme="majorHAnsi" w:cstheme="majorHAnsi"/>
          <w:sz w:val="24"/>
          <w:szCs w:val="24"/>
          <w:lang w:val="en-US"/>
        </w:rPr>
        <w:t>out to other systems in their self-referential and self-reflective processes of knowledge</w:t>
      </w:r>
      <w:r w:rsidR="00E73687">
        <w:rPr>
          <w:rFonts w:asciiTheme="majorHAnsi" w:hAnsiTheme="majorHAnsi" w:cstheme="majorHAnsi"/>
          <w:sz w:val="24"/>
          <w:szCs w:val="24"/>
          <w:lang w:val="en-US"/>
        </w:rPr>
        <w:t xml:space="preserve"> </w:t>
      </w:r>
      <w:r w:rsidR="00FD3507" w:rsidRPr="00BC3068">
        <w:rPr>
          <w:rFonts w:asciiTheme="majorHAnsi" w:hAnsiTheme="majorHAnsi" w:cstheme="majorHAnsi"/>
          <w:sz w:val="24"/>
          <w:szCs w:val="24"/>
          <w:lang w:val="en-US"/>
        </w:rPr>
        <w:t xml:space="preserve">building. National education policy systems thereby create </w:t>
      </w:r>
      <w:r w:rsidR="00E73687">
        <w:rPr>
          <w:rFonts w:asciiTheme="majorHAnsi" w:hAnsiTheme="majorHAnsi" w:cstheme="majorHAnsi"/>
          <w:sz w:val="24"/>
          <w:szCs w:val="24"/>
          <w:lang w:val="en-US"/>
        </w:rPr>
        <w:t xml:space="preserve">adapted and complementary </w:t>
      </w:r>
      <w:r w:rsidR="00FD3507" w:rsidRPr="00BC3068">
        <w:rPr>
          <w:rFonts w:asciiTheme="majorHAnsi" w:hAnsiTheme="majorHAnsi" w:cstheme="majorHAnsi"/>
          <w:sz w:val="24"/>
          <w:szCs w:val="24"/>
          <w:lang w:val="en-US"/>
        </w:rPr>
        <w:t>meanings of</w:t>
      </w:r>
      <w:r w:rsidR="00E73687">
        <w:rPr>
          <w:rFonts w:asciiTheme="majorHAnsi" w:hAnsiTheme="majorHAnsi" w:cstheme="majorHAnsi"/>
          <w:sz w:val="24"/>
          <w:szCs w:val="24"/>
          <w:lang w:val="en-US"/>
        </w:rPr>
        <w:t xml:space="preserve"> </w:t>
      </w:r>
      <w:r w:rsidR="00FD3507" w:rsidRPr="00BC3068">
        <w:rPr>
          <w:rFonts w:asciiTheme="majorHAnsi" w:hAnsiTheme="majorHAnsi" w:cstheme="majorHAnsi"/>
          <w:sz w:val="24"/>
          <w:szCs w:val="24"/>
          <w:lang w:val="en-US"/>
        </w:rPr>
        <w:t>international policy knowledge in accordance with their own cultural, political, and ideological</w:t>
      </w:r>
      <w:r w:rsidR="00E73687">
        <w:rPr>
          <w:rFonts w:asciiTheme="majorHAnsi" w:hAnsiTheme="majorHAnsi" w:cstheme="majorHAnsi"/>
          <w:sz w:val="24"/>
          <w:szCs w:val="24"/>
          <w:lang w:val="en-US"/>
        </w:rPr>
        <w:t xml:space="preserve"> </w:t>
      </w:r>
      <w:r w:rsidR="00FD3507" w:rsidRPr="00E73687">
        <w:rPr>
          <w:rFonts w:asciiTheme="majorHAnsi" w:hAnsiTheme="majorHAnsi" w:cstheme="majorHAnsi"/>
          <w:sz w:val="24"/>
          <w:szCs w:val="24"/>
          <w:lang w:val="en-US"/>
        </w:rPr>
        <w:t xml:space="preserve">settings (Schriewer &amp; Martinez, </w:t>
      </w:r>
      <w:r w:rsidR="00FD3507" w:rsidRPr="00E73687">
        <w:rPr>
          <w:rFonts w:asciiTheme="majorHAnsi" w:hAnsiTheme="majorHAnsi" w:cstheme="majorHAnsi"/>
          <w:color w:val="000085"/>
          <w:sz w:val="24"/>
          <w:szCs w:val="24"/>
          <w:lang w:val="en-US"/>
        </w:rPr>
        <w:t>2004</w:t>
      </w:r>
      <w:r w:rsidR="00FD3507" w:rsidRPr="00E73687">
        <w:rPr>
          <w:rFonts w:asciiTheme="majorHAnsi" w:hAnsiTheme="majorHAnsi" w:cstheme="majorHAnsi"/>
          <w:sz w:val="24"/>
          <w:szCs w:val="24"/>
          <w:lang w:val="en-US"/>
        </w:rPr>
        <w:t>).</w:t>
      </w:r>
      <w:r w:rsidR="009F268A">
        <w:rPr>
          <w:rFonts w:asciiTheme="majorHAnsi" w:hAnsiTheme="majorHAnsi" w:cstheme="majorHAnsi"/>
          <w:sz w:val="24"/>
          <w:szCs w:val="24"/>
          <w:lang w:val="en-US"/>
        </w:rPr>
        <w:t xml:space="preserve"> </w:t>
      </w:r>
      <w:r w:rsidR="00AC5F75" w:rsidRPr="00AC5F75">
        <w:rPr>
          <w:rFonts w:asciiTheme="majorHAnsi" w:hAnsiTheme="majorHAnsi" w:cstheme="majorHAnsi"/>
          <w:sz w:val="24"/>
          <w:szCs w:val="24"/>
          <w:lang w:val="en-US"/>
        </w:rPr>
        <w:t>As relatively small countries, all the Nordic countries are dependent on an international cooperation for the developemnt of their national education systems. However, the countries also differ in their national systems for schooling and they rarely refer to each other in terms of policy learning or explicitly borrow from each other's policy</w:t>
      </w:r>
      <w:r w:rsidR="00AC5F75">
        <w:rPr>
          <w:rFonts w:asciiTheme="majorHAnsi" w:hAnsiTheme="majorHAnsi" w:cstheme="majorHAnsi"/>
          <w:sz w:val="24"/>
          <w:szCs w:val="24"/>
          <w:lang w:val="en-US"/>
        </w:rPr>
        <w:t xml:space="preserve"> </w:t>
      </w:r>
      <w:r w:rsidR="007A5CE6">
        <w:rPr>
          <w:rFonts w:asciiTheme="majorHAnsi" w:hAnsiTheme="majorHAnsi" w:cstheme="majorHAnsi"/>
          <w:sz w:val="24"/>
          <w:szCs w:val="24"/>
          <w:lang w:val="en-US"/>
        </w:rPr>
        <w:t xml:space="preserve">(Karseth; Sivesind &amp; Steiner-Khamsi, 2022). </w:t>
      </w:r>
      <w:r w:rsidR="00AC5F75" w:rsidRPr="00AC5F75">
        <w:rPr>
          <w:rFonts w:asciiTheme="majorHAnsi" w:hAnsiTheme="majorHAnsi" w:cstheme="majorHAnsi"/>
          <w:sz w:val="24"/>
          <w:szCs w:val="24"/>
          <w:lang w:val="en-US"/>
        </w:rPr>
        <w:t xml:space="preserve">Instead, all the Nordic countries relate to the OECD policy as an external policy reference, albeit in different ways over time and between the different countries </w:t>
      </w:r>
      <w:r w:rsidR="00C60CCD">
        <w:rPr>
          <w:rFonts w:asciiTheme="majorHAnsi" w:hAnsiTheme="majorHAnsi" w:cstheme="majorHAnsi"/>
          <w:sz w:val="24"/>
          <w:szCs w:val="24"/>
          <w:lang w:val="en-US"/>
        </w:rPr>
        <w:t>(Ydesen; Kauko &amp; Ros Magnúsdóttir, 2022)</w:t>
      </w:r>
      <w:r w:rsidR="00857487">
        <w:rPr>
          <w:rFonts w:asciiTheme="majorHAnsi" w:hAnsiTheme="majorHAnsi" w:cstheme="majorHAnsi"/>
          <w:sz w:val="24"/>
          <w:szCs w:val="24"/>
          <w:lang w:val="en-US"/>
        </w:rPr>
        <w:t xml:space="preserve">. </w:t>
      </w:r>
    </w:p>
    <w:p w14:paraId="21DD4756" w14:textId="01F5279A" w:rsidR="000C2381" w:rsidRDefault="000C2381" w:rsidP="0040564D">
      <w:pPr>
        <w:autoSpaceDE w:val="0"/>
        <w:autoSpaceDN w:val="0"/>
        <w:adjustRightInd w:val="0"/>
        <w:spacing w:after="0" w:line="360" w:lineRule="auto"/>
        <w:ind w:firstLine="567"/>
        <w:rPr>
          <w:rFonts w:asciiTheme="majorHAnsi" w:hAnsiTheme="majorHAnsi" w:cstheme="majorHAnsi"/>
          <w:sz w:val="24"/>
          <w:szCs w:val="24"/>
          <w:lang w:val="en-US"/>
        </w:rPr>
      </w:pPr>
    </w:p>
    <w:p w14:paraId="20923661" w14:textId="77777777" w:rsidR="00CD3653" w:rsidRDefault="00CD3653" w:rsidP="00CD3653">
      <w:pPr>
        <w:autoSpaceDE w:val="0"/>
        <w:autoSpaceDN w:val="0"/>
        <w:adjustRightInd w:val="0"/>
        <w:spacing w:after="0" w:line="360" w:lineRule="auto"/>
        <w:ind w:firstLine="567"/>
        <w:rPr>
          <w:rFonts w:asciiTheme="majorHAnsi" w:hAnsiTheme="majorHAnsi" w:cstheme="majorHAnsi"/>
          <w:sz w:val="24"/>
          <w:szCs w:val="24"/>
          <w:lang w:val="en-US"/>
        </w:rPr>
      </w:pPr>
    </w:p>
    <w:p w14:paraId="243CFC49" w14:textId="77777777" w:rsidR="00CD3653" w:rsidRDefault="00CD3653" w:rsidP="00CD3653">
      <w:pPr>
        <w:autoSpaceDE w:val="0"/>
        <w:autoSpaceDN w:val="0"/>
        <w:adjustRightInd w:val="0"/>
        <w:spacing w:after="0" w:line="360" w:lineRule="auto"/>
        <w:rPr>
          <w:rFonts w:asciiTheme="majorHAnsi" w:hAnsiTheme="majorHAnsi" w:cstheme="majorHAnsi"/>
          <w:b/>
          <w:bCs/>
          <w:sz w:val="24"/>
          <w:szCs w:val="24"/>
          <w:lang w:val="en-US"/>
        </w:rPr>
      </w:pPr>
      <w:r>
        <w:rPr>
          <w:rFonts w:asciiTheme="majorHAnsi" w:hAnsiTheme="majorHAnsi" w:cstheme="majorHAnsi"/>
          <w:b/>
          <w:bCs/>
          <w:sz w:val="24"/>
          <w:szCs w:val="24"/>
          <w:lang w:val="en-US"/>
        </w:rPr>
        <w:t>References</w:t>
      </w:r>
    </w:p>
    <w:p w14:paraId="52A73637" w14:textId="75F5CE2A" w:rsidR="00CD3653" w:rsidRDefault="00CD3653" w:rsidP="0083590A">
      <w:pPr>
        <w:autoSpaceDE w:val="0"/>
        <w:autoSpaceDN w:val="0"/>
        <w:adjustRightInd w:val="0"/>
        <w:spacing w:after="0" w:line="240" w:lineRule="auto"/>
        <w:rPr>
          <w:rFonts w:asciiTheme="majorHAnsi" w:hAnsiTheme="majorHAnsi" w:cstheme="majorHAnsi"/>
          <w:b/>
          <w:bCs/>
          <w:sz w:val="24"/>
          <w:szCs w:val="24"/>
          <w:lang w:val="en-US"/>
        </w:rPr>
      </w:pPr>
    </w:p>
    <w:p w14:paraId="71F30EA7" w14:textId="6E082043" w:rsidR="0083590A" w:rsidRPr="0083590A" w:rsidRDefault="0083590A" w:rsidP="0083590A">
      <w:pPr>
        <w:autoSpaceDE w:val="0"/>
        <w:autoSpaceDN w:val="0"/>
        <w:adjustRightInd w:val="0"/>
        <w:spacing w:after="0" w:line="240" w:lineRule="auto"/>
        <w:rPr>
          <w:rFonts w:asciiTheme="majorHAnsi" w:hAnsiTheme="majorHAnsi" w:cstheme="majorHAnsi"/>
          <w:sz w:val="24"/>
          <w:szCs w:val="24"/>
          <w:lang w:val="en-US"/>
        </w:rPr>
      </w:pPr>
      <w:r w:rsidRPr="0083590A">
        <w:rPr>
          <w:rFonts w:asciiTheme="majorHAnsi" w:hAnsiTheme="majorHAnsi" w:cstheme="majorHAnsi"/>
          <w:sz w:val="24"/>
          <w:szCs w:val="24"/>
          <w:lang w:val="en-US"/>
        </w:rPr>
        <w:t xml:space="preserve">Karseth, </w:t>
      </w:r>
      <w:r>
        <w:rPr>
          <w:rFonts w:asciiTheme="majorHAnsi" w:hAnsiTheme="majorHAnsi" w:cstheme="majorHAnsi"/>
          <w:sz w:val="24"/>
          <w:szCs w:val="24"/>
          <w:lang w:val="en-US"/>
        </w:rPr>
        <w:t xml:space="preserve">B.; Sivesind, K. &amp; Steiner-Khamsi, G. (Eds.) (2022). </w:t>
      </w:r>
      <w:r>
        <w:rPr>
          <w:rFonts w:asciiTheme="majorHAnsi" w:hAnsiTheme="majorHAnsi" w:cstheme="majorHAnsi"/>
          <w:i/>
          <w:iCs/>
          <w:sz w:val="24"/>
          <w:szCs w:val="24"/>
          <w:lang w:val="en-US"/>
        </w:rPr>
        <w:t xml:space="preserve">Evidence and expertise in Nordic education policy. A comparative network analysis. </w:t>
      </w:r>
      <w:r>
        <w:rPr>
          <w:rFonts w:asciiTheme="majorHAnsi" w:hAnsiTheme="majorHAnsi" w:cstheme="majorHAnsi"/>
          <w:sz w:val="24"/>
          <w:szCs w:val="24"/>
          <w:lang w:val="en-US"/>
        </w:rPr>
        <w:t>Palgrave Macmillan.</w:t>
      </w:r>
    </w:p>
    <w:p w14:paraId="146EB3D6" w14:textId="77777777" w:rsidR="0083590A" w:rsidRDefault="0083590A" w:rsidP="00CD3653">
      <w:pPr>
        <w:rPr>
          <w:lang w:val="en-US"/>
        </w:rPr>
      </w:pPr>
    </w:p>
    <w:p w14:paraId="25DB646A" w14:textId="715FCD9B" w:rsidR="00CD3653" w:rsidRDefault="00CD3653" w:rsidP="00083DA1">
      <w:pPr>
        <w:rPr>
          <w:rFonts w:ascii="Times New Roman" w:eastAsia="Times New Roman" w:hAnsi="Times New Roman" w:cs="Times New Roman"/>
          <w:color w:val="auto"/>
          <w:sz w:val="24"/>
          <w:szCs w:val="24"/>
          <w:lang w:val="en-US" w:eastAsia="sv-SE"/>
        </w:rPr>
      </w:pPr>
      <w:r w:rsidRPr="00D70F91">
        <w:rPr>
          <w:lang w:val="en-US"/>
        </w:rPr>
        <w:t>Mølstad, C</w:t>
      </w:r>
      <w:r w:rsidR="0084447E" w:rsidRPr="00D70F91">
        <w:rPr>
          <w:lang w:val="en-US"/>
        </w:rPr>
        <w:t>.</w:t>
      </w:r>
      <w:r w:rsidRPr="00D70F91">
        <w:rPr>
          <w:lang w:val="en-US"/>
        </w:rPr>
        <w:t xml:space="preserve"> E</w:t>
      </w:r>
      <w:r w:rsidR="0084447E" w:rsidRPr="00D70F91">
        <w:rPr>
          <w:lang w:val="en-US"/>
        </w:rPr>
        <w:t>.&amp;</w:t>
      </w:r>
      <w:r w:rsidRPr="00D70F91">
        <w:rPr>
          <w:lang w:val="en-US"/>
        </w:rPr>
        <w:t xml:space="preserve"> Karseth, B</w:t>
      </w:r>
      <w:r w:rsidRPr="00D70F91">
        <w:rPr>
          <w:rFonts w:asciiTheme="majorHAnsi" w:hAnsiTheme="majorHAnsi" w:cstheme="majorHAnsi"/>
          <w:sz w:val="24"/>
          <w:szCs w:val="24"/>
          <w:lang w:val="en-US"/>
        </w:rPr>
        <w:t>.</w:t>
      </w:r>
      <w:r w:rsidR="0084447E" w:rsidRPr="00D70F91">
        <w:rPr>
          <w:lang w:val="en-US"/>
        </w:rPr>
        <w:t xml:space="preserve"> (2016). </w:t>
      </w:r>
      <w:r w:rsidR="00083DA1" w:rsidRPr="00083DA1">
        <w:rPr>
          <w:rFonts w:ascii="Times New Roman" w:eastAsia="Times New Roman" w:hAnsi="Times New Roman" w:cs="Times New Roman"/>
          <w:color w:val="auto"/>
          <w:sz w:val="24"/>
          <w:szCs w:val="24"/>
          <w:lang w:val="en-US" w:eastAsia="sv-SE"/>
        </w:rPr>
        <w:t xml:space="preserve">National curricula in Norway and Finland: </w:t>
      </w:r>
      <w:r w:rsidR="00083DA1">
        <w:rPr>
          <w:rFonts w:ascii="Times New Roman" w:eastAsia="Times New Roman" w:hAnsi="Times New Roman" w:cs="Times New Roman"/>
          <w:color w:val="auto"/>
          <w:sz w:val="24"/>
          <w:szCs w:val="24"/>
          <w:lang w:val="en-US" w:eastAsia="sv-SE"/>
        </w:rPr>
        <w:t>t</w:t>
      </w:r>
      <w:r w:rsidR="00083DA1" w:rsidRPr="00083DA1">
        <w:rPr>
          <w:rFonts w:ascii="Times New Roman" w:eastAsia="Times New Roman" w:hAnsi="Times New Roman" w:cs="Times New Roman"/>
          <w:color w:val="auto"/>
          <w:sz w:val="24"/>
          <w:szCs w:val="24"/>
          <w:lang w:val="en-US" w:eastAsia="sv-SE"/>
        </w:rPr>
        <w:t>he role of learning outcomes</w:t>
      </w:r>
      <w:r w:rsidR="00083DA1">
        <w:rPr>
          <w:rFonts w:ascii="Times New Roman" w:eastAsia="Times New Roman" w:hAnsi="Times New Roman" w:cs="Times New Roman"/>
          <w:color w:val="auto"/>
          <w:sz w:val="24"/>
          <w:szCs w:val="24"/>
          <w:lang w:val="en-US" w:eastAsia="sv-SE"/>
        </w:rPr>
        <w:t xml:space="preserve">. </w:t>
      </w:r>
      <w:r w:rsidRPr="00831D36">
        <w:rPr>
          <w:rFonts w:ascii="Times New Roman" w:eastAsia="Times New Roman" w:hAnsi="Times New Roman" w:cs="Times New Roman"/>
          <w:i/>
          <w:iCs/>
          <w:color w:val="auto"/>
          <w:sz w:val="24"/>
          <w:szCs w:val="24"/>
          <w:lang w:val="en-US" w:eastAsia="sv-SE"/>
        </w:rPr>
        <w:t xml:space="preserve">European </w:t>
      </w:r>
      <w:r w:rsidR="00083DA1" w:rsidRPr="00083DA1">
        <w:rPr>
          <w:rFonts w:ascii="Times New Roman" w:eastAsia="Times New Roman" w:hAnsi="Times New Roman" w:cs="Times New Roman"/>
          <w:i/>
          <w:iCs/>
          <w:color w:val="auto"/>
          <w:sz w:val="24"/>
          <w:szCs w:val="24"/>
          <w:lang w:val="en-US" w:eastAsia="sv-SE"/>
        </w:rPr>
        <w:t>E</w:t>
      </w:r>
      <w:r w:rsidRPr="00831D36">
        <w:rPr>
          <w:rFonts w:ascii="Times New Roman" w:eastAsia="Times New Roman" w:hAnsi="Times New Roman" w:cs="Times New Roman"/>
          <w:i/>
          <w:iCs/>
          <w:color w:val="auto"/>
          <w:sz w:val="24"/>
          <w:szCs w:val="24"/>
          <w:lang w:val="en-US" w:eastAsia="sv-SE"/>
        </w:rPr>
        <w:t xml:space="preserve">ducational </w:t>
      </w:r>
      <w:r w:rsidR="00083DA1" w:rsidRPr="00083DA1">
        <w:rPr>
          <w:rFonts w:ascii="Times New Roman" w:eastAsia="Times New Roman" w:hAnsi="Times New Roman" w:cs="Times New Roman"/>
          <w:i/>
          <w:iCs/>
          <w:color w:val="auto"/>
          <w:sz w:val="24"/>
          <w:szCs w:val="24"/>
          <w:lang w:val="en-US" w:eastAsia="sv-SE"/>
        </w:rPr>
        <w:t>Re</w:t>
      </w:r>
      <w:r w:rsidRPr="00831D36">
        <w:rPr>
          <w:rFonts w:ascii="Times New Roman" w:eastAsia="Times New Roman" w:hAnsi="Times New Roman" w:cs="Times New Roman"/>
          <w:i/>
          <w:iCs/>
          <w:color w:val="auto"/>
          <w:sz w:val="24"/>
          <w:szCs w:val="24"/>
          <w:lang w:val="en-US" w:eastAsia="sv-SE"/>
        </w:rPr>
        <w:t xml:space="preserve">search </w:t>
      </w:r>
      <w:r w:rsidR="00083DA1" w:rsidRPr="00083DA1">
        <w:rPr>
          <w:rFonts w:ascii="Times New Roman" w:eastAsia="Times New Roman" w:hAnsi="Times New Roman" w:cs="Times New Roman"/>
          <w:i/>
          <w:iCs/>
          <w:color w:val="auto"/>
          <w:sz w:val="24"/>
          <w:szCs w:val="24"/>
          <w:lang w:val="en-US" w:eastAsia="sv-SE"/>
        </w:rPr>
        <w:t>J</w:t>
      </w:r>
      <w:r w:rsidRPr="00831D36">
        <w:rPr>
          <w:rFonts w:ascii="Times New Roman" w:eastAsia="Times New Roman" w:hAnsi="Times New Roman" w:cs="Times New Roman"/>
          <w:i/>
          <w:iCs/>
          <w:color w:val="auto"/>
          <w:sz w:val="24"/>
          <w:szCs w:val="24"/>
          <w:lang w:val="en-US" w:eastAsia="sv-SE"/>
        </w:rPr>
        <w:t>ourn</w:t>
      </w:r>
      <w:r w:rsidR="00083DA1" w:rsidRPr="00083DA1">
        <w:rPr>
          <w:rFonts w:ascii="Times New Roman" w:eastAsia="Times New Roman" w:hAnsi="Times New Roman" w:cs="Times New Roman"/>
          <w:i/>
          <w:iCs/>
          <w:color w:val="auto"/>
          <w:sz w:val="24"/>
          <w:szCs w:val="24"/>
          <w:lang w:val="en-US" w:eastAsia="sv-SE"/>
        </w:rPr>
        <w:t xml:space="preserve">al </w:t>
      </w:r>
      <w:r w:rsidRPr="00831D36">
        <w:rPr>
          <w:rFonts w:ascii="Times New Roman" w:eastAsia="Times New Roman" w:hAnsi="Times New Roman" w:cs="Times New Roman"/>
          <w:i/>
          <w:iCs/>
          <w:color w:val="auto"/>
          <w:sz w:val="24"/>
          <w:szCs w:val="24"/>
          <w:lang w:val="en-US" w:eastAsia="sv-SE"/>
        </w:rPr>
        <w:t>15</w:t>
      </w:r>
      <w:r w:rsidRPr="00831D36">
        <w:rPr>
          <w:rFonts w:ascii="Times New Roman" w:eastAsia="Times New Roman" w:hAnsi="Times New Roman" w:cs="Times New Roman"/>
          <w:color w:val="auto"/>
          <w:sz w:val="24"/>
          <w:szCs w:val="24"/>
          <w:lang w:val="en-US" w:eastAsia="sv-SE"/>
        </w:rPr>
        <w:t>(3), 329-344</w:t>
      </w:r>
      <w:r w:rsidR="00083DA1">
        <w:rPr>
          <w:rFonts w:ascii="Times New Roman" w:eastAsia="Times New Roman" w:hAnsi="Times New Roman" w:cs="Times New Roman"/>
          <w:color w:val="auto"/>
          <w:sz w:val="24"/>
          <w:szCs w:val="24"/>
          <w:lang w:val="en-US" w:eastAsia="sv-SE"/>
        </w:rPr>
        <w:t>.</w:t>
      </w:r>
    </w:p>
    <w:p w14:paraId="27FA20C8" w14:textId="5D99719F" w:rsidR="00A123BE" w:rsidRPr="000D4157" w:rsidRDefault="00CD3653" w:rsidP="000D4157">
      <w:pPr>
        <w:spacing w:before="100" w:beforeAutospacing="1" w:after="100" w:afterAutospacing="1" w:line="240" w:lineRule="auto"/>
        <w:outlineLvl w:val="2"/>
        <w:rPr>
          <w:rFonts w:ascii="Times New Roman" w:eastAsia="Times New Roman" w:hAnsi="Times New Roman" w:cs="Times New Roman"/>
          <w:color w:val="auto"/>
          <w:sz w:val="24"/>
          <w:szCs w:val="24"/>
          <w:lang w:val="en-US" w:eastAsia="sv-SE"/>
        </w:rPr>
      </w:pPr>
      <w:r w:rsidRPr="00852CF5">
        <w:rPr>
          <w:rFonts w:ascii="Times New Roman" w:eastAsia="Times New Roman" w:hAnsi="Times New Roman" w:cs="Times New Roman"/>
          <w:color w:val="auto"/>
          <w:sz w:val="24"/>
          <w:szCs w:val="24"/>
          <w:lang w:val="en-US" w:eastAsia="sv-SE"/>
        </w:rPr>
        <w:t>Nordin, A</w:t>
      </w:r>
      <w:r>
        <w:rPr>
          <w:rFonts w:ascii="Times New Roman" w:eastAsia="Times New Roman" w:hAnsi="Times New Roman" w:cs="Times New Roman"/>
          <w:color w:val="auto"/>
          <w:sz w:val="24"/>
          <w:szCs w:val="24"/>
          <w:lang w:val="en-US" w:eastAsia="sv-SE"/>
        </w:rPr>
        <w:t>.</w:t>
      </w:r>
      <w:r w:rsidRPr="00852CF5">
        <w:rPr>
          <w:rFonts w:ascii="Times New Roman" w:eastAsia="Times New Roman" w:hAnsi="Times New Roman" w:cs="Times New Roman"/>
          <w:color w:val="auto"/>
          <w:sz w:val="24"/>
          <w:szCs w:val="24"/>
          <w:lang w:val="en-US" w:eastAsia="sv-SE"/>
        </w:rPr>
        <w:t xml:space="preserve"> Sundberg, D</w:t>
      </w:r>
      <w:r>
        <w:rPr>
          <w:rFonts w:ascii="Times New Roman" w:eastAsia="Times New Roman" w:hAnsi="Times New Roman" w:cs="Times New Roman"/>
          <w:color w:val="auto"/>
          <w:sz w:val="24"/>
          <w:szCs w:val="24"/>
          <w:lang w:val="en-US" w:eastAsia="sv-SE"/>
        </w:rPr>
        <w:t xml:space="preserve">. (2021). </w:t>
      </w:r>
      <w:r w:rsidRPr="00852CF5">
        <w:rPr>
          <w:rFonts w:ascii="Times New Roman" w:eastAsia="Times New Roman" w:hAnsi="Times New Roman" w:cs="Times New Roman"/>
          <w:color w:val="auto"/>
          <w:sz w:val="24"/>
          <w:szCs w:val="24"/>
          <w:lang w:val="en-US" w:eastAsia="sv-SE"/>
        </w:rPr>
        <w:t>T</w:t>
      </w:r>
      <w:hyperlink r:id="rId8" w:history="1">
        <w:r w:rsidRPr="00852CF5">
          <w:rPr>
            <w:rFonts w:ascii="Times New Roman" w:eastAsia="Times New Roman" w:hAnsi="Times New Roman" w:cs="Times New Roman"/>
            <w:color w:val="auto"/>
            <w:sz w:val="24"/>
            <w:szCs w:val="24"/>
            <w:lang w:val="en-US" w:eastAsia="sv-SE"/>
          </w:rPr>
          <w:t>ransnational competence frameworks and national curriculum-making: the case of Sweden</w:t>
        </w:r>
      </w:hyperlink>
      <w:r>
        <w:rPr>
          <w:rFonts w:ascii="Times New Roman" w:eastAsia="Times New Roman" w:hAnsi="Times New Roman" w:cs="Times New Roman"/>
          <w:color w:val="auto"/>
          <w:sz w:val="24"/>
          <w:szCs w:val="24"/>
          <w:lang w:val="en-US" w:eastAsia="sv-SE"/>
        </w:rPr>
        <w:t xml:space="preserve">. </w:t>
      </w:r>
      <w:r w:rsidRPr="00852CF5">
        <w:rPr>
          <w:rFonts w:ascii="Times New Roman" w:eastAsia="Times New Roman" w:hAnsi="Times New Roman" w:cs="Times New Roman"/>
          <w:i/>
          <w:iCs/>
          <w:color w:val="auto"/>
          <w:sz w:val="24"/>
          <w:szCs w:val="24"/>
          <w:lang w:val="en-US" w:eastAsia="sv-SE"/>
        </w:rPr>
        <w:t>Comparative Education 57</w:t>
      </w:r>
      <w:r w:rsidRPr="00852CF5">
        <w:rPr>
          <w:rFonts w:ascii="Times New Roman" w:eastAsia="Times New Roman" w:hAnsi="Times New Roman" w:cs="Times New Roman"/>
          <w:color w:val="auto"/>
          <w:sz w:val="24"/>
          <w:szCs w:val="24"/>
          <w:lang w:val="en-US" w:eastAsia="sv-SE"/>
        </w:rPr>
        <w:t xml:space="preserve"> (1), 19-34</w:t>
      </w:r>
      <w:r>
        <w:rPr>
          <w:rFonts w:ascii="Times New Roman" w:eastAsia="Times New Roman" w:hAnsi="Times New Roman" w:cs="Times New Roman"/>
          <w:color w:val="auto"/>
          <w:sz w:val="24"/>
          <w:szCs w:val="24"/>
          <w:lang w:val="en-US" w:eastAsia="sv-SE"/>
        </w:rPr>
        <w:t xml:space="preserve">. </w:t>
      </w:r>
      <w:bookmarkStart w:id="0" w:name="_bookmark0"/>
      <w:bookmarkEnd w:id="0"/>
    </w:p>
    <w:p w14:paraId="3CBB9EE9" w14:textId="6E49B401" w:rsidR="00A123BE" w:rsidRPr="00D70F91" w:rsidRDefault="00A123BE" w:rsidP="00A123BE">
      <w:pPr>
        <w:autoSpaceDE w:val="0"/>
        <w:autoSpaceDN w:val="0"/>
        <w:adjustRightInd w:val="0"/>
        <w:spacing w:after="0" w:line="240" w:lineRule="auto"/>
        <w:rPr>
          <w:rFonts w:asciiTheme="majorHAnsi" w:hAnsiTheme="majorHAnsi" w:cstheme="majorHAnsi"/>
          <w:sz w:val="24"/>
          <w:szCs w:val="24"/>
          <w:lang w:val="en-US"/>
        </w:rPr>
      </w:pPr>
      <w:r w:rsidRPr="00A123BE">
        <w:rPr>
          <w:rFonts w:asciiTheme="majorHAnsi" w:hAnsiTheme="majorHAnsi" w:cstheme="majorHAnsi"/>
          <w:sz w:val="24"/>
          <w:szCs w:val="24"/>
          <w:lang w:val="en-US"/>
        </w:rPr>
        <w:lastRenderedPageBreak/>
        <w:t>Schriewer, J. (</w:t>
      </w:r>
      <w:r w:rsidRPr="00A123BE">
        <w:rPr>
          <w:rFonts w:asciiTheme="majorHAnsi" w:hAnsiTheme="majorHAnsi" w:cstheme="majorHAnsi"/>
          <w:color w:val="000085"/>
          <w:sz w:val="24"/>
          <w:szCs w:val="24"/>
          <w:lang w:val="en-US"/>
        </w:rPr>
        <w:t>2003</w:t>
      </w:r>
      <w:r w:rsidRPr="00A123BE">
        <w:rPr>
          <w:rFonts w:asciiTheme="majorHAnsi" w:hAnsiTheme="majorHAnsi" w:cstheme="majorHAnsi"/>
          <w:sz w:val="24"/>
          <w:szCs w:val="24"/>
          <w:lang w:val="en-US"/>
        </w:rPr>
        <w:t xml:space="preserve">). Globalisation in education: Process and discourse. </w:t>
      </w:r>
      <w:r w:rsidRPr="00D70F91">
        <w:rPr>
          <w:rFonts w:asciiTheme="majorHAnsi" w:hAnsiTheme="majorHAnsi" w:cstheme="majorHAnsi"/>
          <w:i/>
          <w:iCs/>
          <w:sz w:val="24"/>
          <w:szCs w:val="24"/>
          <w:lang w:val="en-US"/>
        </w:rPr>
        <w:t>Policy Futures in Education</w:t>
      </w:r>
      <w:r w:rsidRPr="00D70F91">
        <w:rPr>
          <w:rFonts w:asciiTheme="majorHAnsi" w:hAnsiTheme="majorHAnsi" w:cstheme="majorHAnsi"/>
          <w:sz w:val="24"/>
          <w:szCs w:val="24"/>
          <w:lang w:val="en-US"/>
        </w:rPr>
        <w:t xml:space="preserve"> </w:t>
      </w:r>
      <w:r w:rsidRPr="00D70F91">
        <w:rPr>
          <w:rFonts w:asciiTheme="majorHAnsi" w:hAnsiTheme="majorHAnsi" w:cstheme="majorHAnsi"/>
          <w:i/>
          <w:iCs/>
          <w:sz w:val="24"/>
          <w:szCs w:val="24"/>
          <w:lang w:val="en-US"/>
        </w:rPr>
        <w:t>1</w:t>
      </w:r>
      <w:r w:rsidRPr="00D70F91">
        <w:rPr>
          <w:rFonts w:asciiTheme="majorHAnsi" w:hAnsiTheme="majorHAnsi" w:cstheme="majorHAnsi"/>
          <w:sz w:val="24"/>
          <w:szCs w:val="24"/>
          <w:lang w:val="en-US"/>
        </w:rPr>
        <w:t>(2), 271–283.</w:t>
      </w:r>
    </w:p>
    <w:p w14:paraId="548D5402" w14:textId="3E151DE9" w:rsidR="00A123BE" w:rsidRPr="00A123BE" w:rsidRDefault="00A123BE" w:rsidP="00A123BE">
      <w:pPr>
        <w:kinsoku w:val="0"/>
        <w:overflowPunct w:val="0"/>
        <w:autoSpaceDE w:val="0"/>
        <w:autoSpaceDN w:val="0"/>
        <w:adjustRightInd w:val="0"/>
        <w:spacing w:before="4" w:after="0" w:line="240" w:lineRule="auto"/>
        <w:jc w:val="both"/>
        <w:rPr>
          <w:rFonts w:asciiTheme="majorHAnsi" w:hAnsiTheme="majorHAnsi" w:cstheme="majorHAnsi"/>
          <w:color w:val="auto"/>
          <w:sz w:val="24"/>
          <w:szCs w:val="24"/>
          <w:lang w:val="en-US"/>
        </w:rPr>
      </w:pPr>
    </w:p>
    <w:p w14:paraId="5397AE71" w14:textId="77777777" w:rsidR="0090373D" w:rsidRDefault="00A123BE" w:rsidP="00A123BE">
      <w:pPr>
        <w:kinsoku w:val="0"/>
        <w:overflowPunct w:val="0"/>
        <w:autoSpaceDE w:val="0"/>
        <w:autoSpaceDN w:val="0"/>
        <w:adjustRightInd w:val="0"/>
        <w:spacing w:before="11" w:after="0" w:line="249" w:lineRule="auto"/>
        <w:ind w:left="238" w:right="117" w:hanging="201"/>
        <w:jc w:val="both"/>
        <w:rPr>
          <w:rFonts w:asciiTheme="majorHAnsi" w:hAnsiTheme="majorHAnsi" w:cstheme="majorHAnsi"/>
          <w:spacing w:val="16"/>
          <w:w w:val="105"/>
          <w:sz w:val="24"/>
          <w:szCs w:val="24"/>
          <w:lang w:val="en-US"/>
        </w:rPr>
      </w:pPr>
      <w:r w:rsidRPr="00A123BE">
        <w:rPr>
          <w:rFonts w:asciiTheme="majorHAnsi" w:hAnsiTheme="majorHAnsi" w:cstheme="majorHAnsi"/>
          <w:color w:val="auto"/>
          <w:w w:val="105"/>
          <w:sz w:val="24"/>
          <w:szCs w:val="24"/>
          <w:lang w:val="en-US"/>
        </w:rPr>
        <w:t>Schriewer,</w:t>
      </w:r>
      <w:r w:rsidRPr="00A123BE">
        <w:rPr>
          <w:rFonts w:asciiTheme="majorHAnsi" w:hAnsiTheme="majorHAnsi" w:cstheme="majorHAnsi"/>
          <w:color w:val="auto"/>
          <w:spacing w:val="18"/>
          <w:w w:val="105"/>
          <w:sz w:val="24"/>
          <w:szCs w:val="24"/>
          <w:lang w:val="en-US"/>
        </w:rPr>
        <w:t xml:space="preserve"> </w:t>
      </w:r>
      <w:r w:rsidRPr="00A123BE">
        <w:rPr>
          <w:rFonts w:asciiTheme="majorHAnsi" w:hAnsiTheme="majorHAnsi" w:cstheme="majorHAnsi"/>
          <w:color w:val="auto"/>
          <w:w w:val="105"/>
          <w:sz w:val="24"/>
          <w:szCs w:val="24"/>
          <w:lang w:val="en-US"/>
        </w:rPr>
        <w:t>J.,</w:t>
      </w:r>
      <w:r w:rsidRPr="00A123BE">
        <w:rPr>
          <w:rFonts w:asciiTheme="majorHAnsi" w:hAnsiTheme="majorHAnsi" w:cstheme="majorHAnsi"/>
          <w:color w:val="auto"/>
          <w:spacing w:val="17"/>
          <w:w w:val="105"/>
          <w:sz w:val="24"/>
          <w:szCs w:val="24"/>
          <w:lang w:val="en-US"/>
        </w:rPr>
        <w:t xml:space="preserve"> </w:t>
      </w:r>
      <w:r w:rsidRPr="00A123BE">
        <w:rPr>
          <w:rFonts w:asciiTheme="majorHAnsi" w:hAnsiTheme="majorHAnsi" w:cstheme="majorHAnsi"/>
          <w:color w:val="auto"/>
          <w:w w:val="105"/>
          <w:sz w:val="24"/>
          <w:szCs w:val="24"/>
          <w:lang w:val="en-US"/>
        </w:rPr>
        <w:t>&amp;</w:t>
      </w:r>
      <w:r w:rsidRPr="00A123BE">
        <w:rPr>
          <w:rFonts w:asciiTheme="majorHAnsi" w:hAnsiTheme="majorHAnsi" w:cstheme="majorHAnsi"/>
          <w:color w:val="auto"/>
          <w:spacing w:val="17"/>
          <w:w w:val="105"/>
          <w:sz w:val="24"/>
          <w:szCs w:val="24"/>
          <w:lang w:val="en-US"/>
        </w:rPr>
        <w:t xml:space="preserve"> </w:t>
      </w:r>
      <w:r w:rsidRPr="00A123BE">
        <w:rPr>
          <w:rFonts w:asciiTheme="majorHAnsi" w:hAnsiTheme="majorHAnsi" w:cstheme="majorHAnsi"/>
          <w:color w:val="auto"/>
          <w:w w:val="105"/>
          <w:sz w:val="24"/>
          <w:szCs w:val="24"/>
          <w:lang w:val="en-US"/>
        </w:rPr>
        <w:t>Martinez,</w:t>
      </w:r>
      <w:r w:rsidRPr="00A123BE">
        <w:rPr>
          <w:rFonts w:asciiTheme="majorHAnsi" w:hAnsiTheme="majorHAnsi" w:cstheme="majorHAnsi"/>
          <w:color w:val="auto"/>
          <w:spacing w:val="18"/>
          <w:w w:val="105"/>
          <w:sz w:val="24"/>
          <w:szCs w:val="24"/>
          <w:lang w:val="en-US"/>
        </w:rPr>
        <w:t xml:space="preserve"> </w:t>
      </w:r>
      <w:r w:rsidRPr="00A123BE">
        <w:rPr>
          <w:rFonts w:asciiTheme="majorHAnsi" w:hAnsiTheme="majorHAnsi" w:cstheme="majorHAnsi"/>
          <w:color w:val="auto"/>
          <w:w w:val="105"/>
          <w:sz w:val="24"/>
          <w:szCs w:val="24"/>
          <w:lang w:val="en-US"/>
        </w:rPr>
        <w:t>C.</w:t>
      </w:r>
      <w:r w:rsidRPr="00A123BE">
        <w:rPr>
          <w:rFonts w:asciiTheme="majorHAnsi" w:hAnsiTheme="majorHAnsi" w:cstheme="majorHAnsi"/>
          <w:color w:val="auto"/>
          <w:spacing w:val="16"/>
          <w:w w:val="105"/>
          <w:sz w:val="24"/>
          <w:szCs w:val="24"/>
          <w:lang w:val="en-US"/>
        </w:rPr>
        <w:t xml:space="preserve"> </w:t>
      </w:r>
      <w:r w:rsidRPr="00A123BE">
        <w:rPr>
          <w:rFonts w:asciiTheme="majorHAnsi" w:hAnsiTheme="majorHAnsi" w:cstheme="majorHAnsi"/>
          <w:color w:val="auto"/>
          <w:w w:val="105"/>
          <w:sz w:val="24"/>
          <w:szCs w:val="24"/>
          <w:lang w:val="en-US"/>
        </w:rPr>
        <w:t>(</w:t>
      </w:r>
      <w:r w:rsidRPr="00A123BE">
        <w:rPr>
          <w:rFonts w:asciiTheme="majorHAnsi" w:hAnsiTheme="majorHAnsi" w:cstheme="majorHAnsi"/>
          <w:color w:val="000084"/>
          <w:w w:val="105"/>
          <w:sz w:val="24"/>
          <w:szCs w:val="24"/>
          <w:lang w:val="en-US"/>
        </w:rPr>
        <w:t>2004</w:t>
      </w:r>
      <w:r w:rsidRPr="00A123BE">
        <w:rPr>
          <w:rFonts w:asciiTheme="majorHAnsi" w:hAnsiTheme="majorHAnsi" w:cstheme="majorHAnsi"/>
          <w:w w:val="105"/>
          <w:sz w:val="24"/>
          <w:szCs w:val="24"/>
          <w:lang w:val="en-US"/>
        </w:rPr>
        <w:t>).</w:t>
      </w:r>
      <w:r w:rsidRPr="00A123BE">
        <w:rPr>
          <w:rFonts w:asciiTheme="majorHAnsi" w:hAnsiTheme="majorHAnsi" w:cstheme="majorHAnsi"/>
          <w:spacing w:val="17"/>
          <w:w w:val="105"/>
          <w:sz w:val="24"/>
          <w:szCs w:val="24"/>
          <w:lang w:val="en-US"/>
        </w:rPr>
        <w:t xml:space="preserve"> </w:t>
      </w:r>
      <w:r w:rsidRPr="00A123BE">
        <w:rPr>
          <w:rFonts w:asciiTheme="majorHAnsi" w:hAnsiTheme="majorHAnsi" w:cstheme="majorHAnsi"/>
          <w:w w:val="105"/>
          <w:sz w:val="24"/>
          <w:szCs w:val="24"/>
          <w:lang w:val="en-US"/>
        </w:rPr>
        <w:t>Constructions</w:t>
      </w:r>
      <w:r w:rsidRPr="00A123BE">
        <w:rPr>
          <w:rFonts w:asciiTheme="majorHAnsi" w:hAnsiTheme="majorHAnsi" w:cstheme="majorHAnsi"/>
          <w:spacing w:val="18"/>
          <w:w w:val="105"/>
          <w:sz w:val="24"/>
          <w:szCs w:val="24"/>
          <w:lang w:val="en-US"/>
        </w:rPr>
        <w:t xml:space="preserve"> </w:t>
      </w:r>
      <w:r w:rsidRPr="00A123BE">
        <w:rPr>
          <w:rFonts w:asciiTheme="majorHAnsi" w:hAnsiTheme="majorHAnsi" w:cstheme="majorHAnsi"/>
          <w:w w:val="105"/>
          <w:sz w:val="24"/>
          <w:szCs w:val="24"/>
          <w:lang w:val="en-US"/>
        </w:rPr>
        <w:t>of</w:t>
      </w:r>
      <w:r w:rsidRPr="00A123BE">
        <w:rPr>
          <w:rFonts w:asciiTheme="majorHAnsi" w:hAnsiTheme="majorHAnsi" w:cstheme="majorHAnsi"/>
          <w:spacing w:val="18"/>
          <w:w w:val="105"/>
          <w:sz w:val="24"/>
          <w:szCs w:val="24"/>
          <w:lang w:val="en-US"/>
        </w:rPr>
        <w:t xml:space="preserve"> </w:t>
      </w:r>
      <w:r w:rsidRPr="00A123BE">
        <w:rPr>
          <w:rFonts w:asciiTheme="majorHAnsi" w:hAnsiTheme="majorHAnsi" w:cstheme="majorHAnsi"/>
          <w:w w:val="105"/>
          <w:sz w:val="24"/>
          <w:szCs w:val="24"/>
          <w:lang w:val="en-US"/>
        </w:rPr>
        <w:t>internationality</w:t>
      </w:r>
      <w:r w:rsidRPr="00A123BE">
        <w:rPr>
          <w:rFonts w:asciiTheme="majorHAnsi" w:hAnsiTheme="majorHAnsi" w:cstheme="majorHAnsi"/>
          <w:spacing w:val="17"/>
          <w:w w:val="105"/>
          <w:sz w:val="24"/>
          <w:szCs w:val="24"/>
          <w:lang w:val="en-US"/>
        </w:rPr>
        <w:t xml:space="preserve"> </w:t>
      </w:r>
      <w:r w:rsidRPr="00A123BE">
        <w:rPr>
          <w:rFonts w:asciiTheme="majorHAnsi" w:hAnsiTheme="majorHAnsi" w:cstheme="majorHAnsi"/>
          <w:w w:val="105"/>
          <w:sz w:val="24"/>
          <w:szCs w:val="24"/>
          <w:lang w:val="en-US"/>
        </w:rPr>
        <w:t>in</w:t>
      </w:r>
      <w:r w:rsidRPr="00A123BE">
        <w:rPr>
          <w:rFonts w:asciiTheme="majorHAnsi" w:hAnsiTheme="majorHAnsi" w:cstheme="majorHAnsi"/>
          <w:spacing w:val="18"/>
          <w:w w:val="105"/>
          <w:sz w:val="24"/>
          <w:szCs w:val="24"/>
          <w:lang w:val="en-US"/>
        </w:rPr>
        <w:t xml:space="preserve"> </w:t>
      </w:r>
      <w:r w:rsidRPr="00A123BE">
        <w:rPr>
          <w:rFonts w:asciiTheme="majorHAnsi" w:hAnsiTheme="majorHAnsi" w:cstheme="majorHAnsi"/>
          <w:w w:val="105"/>
          <w:sz w:val="24"/>
          <w:szCs w:val="24"/>
          <w:lang w:val="en-US"/>
        </w:rPr>
        <w:t>education.</w:t>
      </w:r>
      <w:r w:rsidRPr="00A123BE">
        <w:rPr>
          <w:rFonts w:asciiTheme="majorHAnsi" w:hAnsiTheme="majorHAnsi" w:cstheme="majorHAnsi"/>
          <w:spacing w:val="17"/>
          <w:w w:val="105"/>
          <w:sz w:val="24"/>
          <w:szCs w:val="24"/>
          <w:lang w:val="en-US"/>
        </w:rPr>
        <w:t xml:space="preserve"> </w:t>
      </w:r>
      <w:r w:rsidRPr="00A123BE">
        <w:rPr>
          <w:rFonts w:asciiTheme="majorHAnsi" w:hAnsiTheme="majorHAnsi" w:cstheme="majorHAnsi"/>
          <w:w w:val="105"/>
          <w:sz w:val="24"/>
          <w:szCs w:val="24"/>
          <w:lang w:val="en-US"/>
        </w:rPr>
        <w:t>In</w:t>
      </w:r>
    </w:p>
    <w:p w14:paraId="0B8EEBE3" w14:textId="77777777" w:rsidR="0090373D" w:rsidRDefault="00A123BE" w:rsidP="00A123BE">
      <w:pPr>
        <w:kinsoku w:val="0"/>
        <w:overflowPunct w:val="0"/>
        <w:autoSpaceDE w:val="0"/>
        <w:autoSpaceDN w:val="0"/>
        <w:adjustRightInd w:val="0"/>
        <w:spacing w:before="11" w:after="0" w:line="249" w:lineRule="auto"/>
        <w:ind w:left="238" w:right="117" w:hanging="201"/>
        <w:jc w:val="both"/>
        <w:rPr>
          <w:rFonts w:asciiTheme="majorHAnsi" w:hAnsiTheme="majorHAnsi" w:cstheme="majorHAnsi"/>
          <w:i/>
          <w:iCs/>
          <w:spacing w:val="20"/>
          <w:w w:val="105"/>
          <w:sz w:val="24"/>
          <w:szCs w:val="24"/>
          <w:lang w:val="en-US"/>
        </w:rPr>
      </w:pPr>
      <w:r w:rsidRPr="00A123BE">
        <w:rPr>
          <w:rFonts w:asciiTheme="majorHAnsi" w:hAnsiTheme="majorHAnsi" w:cstheme="majorHAnsi"/>
          <w:w w:val="105"/>
          <w:sz w:val="24"/>
          <w:szCs w:val="24"/>
          <w:lang w:val="en-US"/>
        </w:rPr>
        <w:t>G.</w:t>
      </w:r>
      <w:r w:rsidRPr="00A123BE">
        <w:rPr>
          <w:rFonts w:asciiTheme="majorHAnsi" w:hAnsiTheme="majorHAnsi" w:cstheme="majorHAnsi"/>
          <w:spacing w:val="18"/>
          <w:w w:val="105"/>
          <w:sz w:val="24"/>
          <w:szCs w:val="24"/>
          <w:lang w:val="en-US"/>
        </w:rPr>
        <w:t xml:space="preserve"> </w:t>
      </w:r>
      <w:r w:rsidRPr="00A123BE">
        <w:rPr>
          <w:rFonts w:asciiTheme="majorHAnsi" w:hAnsiTheme="majorHAnsi" w:cstheme="majorHAnsi"/>
          <w:w w:val="105"/>
          <w:sz w:val="24"/>
          <w:szCs w:val="24"/>
          <w:lang w:val="en-US"/>
        </w:rPr>
        <w:t>Steiner-</w:t>
      </w:r>
      <w:r w:rsidRPr="00A123BE">
        <w:rPr>
          <w:rFonts w:asciiTheme="majorHAnsi" w:hAnsiTheme="majorHAnsi" w:cstheme="majorHAnsi"/>
          <w:spacing w:val="-7"/>
          <w:w w:val="105"/>
          <w:sz w:val="24"/>
          <w:szCs w:val="24"/>
          <w:lang w:val="en-US"/>
        </w:rPr>
        <w:t xml:space="preserve"> </w:t>
      </w:r>
      <w:r w:rsidRPr="00A123BE">
        <w:rPr>
          <w:rFonts w:asciiTheme="majorHAnsi" w:hAnsiTheme="majorHAnsi" w:cstheme="majorHAnsi"/>
          <w:w w:val="105"/>
          <w:sz w:val="24"/>
          <w:szCs w:val="24"/>
          <w:lang w:val="en-US"/>
        </w:rPr>
        <w:t>Khamsi</w:t>
      </w:r>
      <w:r w:rsidRPr="00A123BE">
        <w:rPr>
          <w:rFonts w:asciiTheme="majorHAnsi" w:hAnsiTheme="majorHAnsi" w:cstheme="majorHAnsi"/>
          <w:spacing w:val="20"/>
          <w:w w:val="105"/>
          <w:sz w:val="24"/>
          <w:szCs w:val="24"/>
          <w:lang w:val="en-US"/>
        </w:rPr>
        <w:t xml:space="preserve"> </w:t>
      </w:r>
      <w:r w:rsidRPr="00A123BE">
        <w:rPr>
          <w:rFonts w:asciiTheme="majorHAnsi" w:hAnsiTheme="majorHAnsi" w:cstheme="majorHAnsi"/>
          <w:w w:val="105"/>
          <w:sz w:val="24"/>
          <w:szCs w:val="24"/>
          <w:lang w:val="en-US"/>
        </w:rPr>
        <w:t>(Ed.),</w:t>
      </w:r>
      <w:r w:rsidRPr="00A123BE">
        <w:rPr>
          <w:rFonts w:asciiTheme="majorHAnsi" w:hAnsiTheme="majorHAnsi" w:cstheme="majorHAnsi"/>
          <w:spacing w:val="20"/>
          <w:w w:val="105"/>
          <w:sz w:val="24"/>
          <w:szCs w:val="24"/>
          <w:lang w:val="en-US"/>
        </w:rPr>
        <w:t xml:space="preserve"> </w:t>
      </w:r>
      <w:r w:rsidRPr="00A123BE">
        <w:rPr>
          <w:rFonts w:asciiTheme="majorHAnsi" w:hAnsiTheme="majorHAnsi" w:cstheme="majorHAnsi"/>
          <w:i/>
          <w:iCs/>
          <w:w w:val="105"/>
          <w:sz w:val="24"/>
          <w:szCs w:val="24"/>
          <w:lang w:val="en-US"/>
        </w:rPr>
        <w:t>The</w:t>
      </w:r>
      <w:r w:rsidRPr="00A123BE">
        <w:rPr>
          <w:rFonts w:asciiTheme="majorHAnsi" w:hAnsiTheme="majorHAnsi" w:cstheme="majorHAnsi"/>
          <w:i/>
          <w:iCs/>
          <w:spacing w:val="19"/>
          <w:w w:val="105"/>
          <w:sz w:val="24"/>
          <w:szCs w:val="24"/>
          <w:lang w:val="en-US"/>
        </w:rPr>
        <w:t xml:space="preserve"> </w:t>
      </w:r>
      <w:r w:rsidRPr="00A123BE">
        <w:rPr>
          <w:rFonts w:asciiTheme="majorHAnsi" w:hAnsiTheme="majorHAnsi" w:cstheme="majorHAnsi"/>
          <w:i/>
          <w:iCs/>
          <w:w w:val="105"/>
          <w:sz w:val="24"/>
          <w:szCs w:val="24"/>
          <w:lang w:val="en-US"/>
        </w:rPr>
        <w:t>global</w:t>
      </w:r>
      <w:r w:rsidRPr="00A123BE">
        <w:rPr>
          <w:rFonts w:asciiTheme="majorHAnsi" w:hAnsiTheme="majorHAnsi" w:cstheme="majorHAnsi"/>
          <w:i/>
          <w:iCs/>
          <w:spacing w:val="21"/>
          <w:w w:val="105"/>
          <w:sz w:val="24"/>
          <w:szCs w:val="24"/>
          <w:lang w:val="en-US"/>
        </w:rPr>
        <w:t xml:space="preserve"> </w:t>
      </w:r>
      <w:r w:rsidRPr="00A123BE">
        <w:rPr>
          <w:rFonts w:asciiTheme="majorHAnsi" w:hAnsiTheme="majorHAnsi" w:cstheme="majorHAnsi"/>
          <w:i/>
          <w:iCs/>
          <w:w w:val="105"/>
          <w:sz w:val="24"/>
          <w:szCs w:val="24"/>
          <w:lang w:val="en-US"/>
        </w:rPr>
        <w:t>politics</w:t>
      </w:r>
      <w:r w:rsidRPr="00A123BE">
        <w:rPr>
          <w:rFonts w:asciiTheme="majorHAnsi" w:hAnsiTheme="majorHAnsi" w:cstheme="majorHAnsi"/>
          <w:i/>
          <w:iCs/>
          <w:spacing w:val="21"/>
          <w:w w:val="105"/>
          <w:sz w:val="24"/>
          <w:szCs w:val="24"/>
          <w:lang w:val="en-US"/>
        </w:rPr>
        <w:t xml:space="preserve"> </w:t>
      </w:r>
      <w:r w:rsidRPr="00A123BE">
        <w:rPr>
          <w:rFonts w:asciiTheme="majorHAnsi" w:hAnsiTheme="majorHAnsi" w:cstheme="majorHAnsi"/>
          <w:i/>
          <w:iCs/>
          <w:w w:val="105"/>
          <w:sz w:val="24"/>
          <w:szCs w:val="24"/>
          <w:lang w:val="en-US"/>
        </w:rPr>
        <w:t>of</w:t>
      </w:r>
      <w:r w:rsidRPr="00A123BE">
        <w:rPr>
          <w:rFonts w:asciiTheme="majorHAnsi" w:hAnsiTheme="majorHAnsi" w:cstheme="majorHAnsi"/>
          <w:i/>
          <w:iCs/>
          <w:spacing w:val="21"/>
          <w:w w:val="105"/>
          <w:sz w:val="24"/>
          <w:szCs w:val="24"/>
          <w:lang w:val="en-US"/>
        </w:rPr>
        <w:t xml:space="preserve"> </w:t>
      </w:r>
      <w:r w:rsidRPr="00A123BE">
        <w:rPr>
          <w:rFonts w:asciiTheme="majorHAnsi" w:hAnsiTheme="majorHAnsi" w:cstheme="majorHAnsi"/>
          <w:i/>
          <w:iCs/>
          <w:w w:val="105"/>
          <w:sz w:val="24"/>
          <w:szCs w:val="24"/>
          <w:lang w:val="en-US"/>
        </w:rPr>
        <w:t>educational</w:t>
      </w:r>
      <w:r w:rsidRPr="00A123BE">
        <w:rPr>
          <w:rFonts w:asciiTheme="majorHAnsi" w:hAnsiTheme="majorHAnsi" w:cstheme="majorHAnsi"/>
          <w:i/>
          <w:iCs/>
          <w:spacing w:val="20"/>
          <w:w w:val="105"/>
          <w:sz w:val="24"/>
          <w:szCs w:val="24"/>
          <w:lang w:val="en-US"/>
        </w:rPr>
        <w:t xml:space="preserve"> </w:t>
      </w:r>
      <w:r w:rsidRPr="00A123BE">
        <w:rPr>
          <w:rFonts w:asciiTheme="majorHAnsi" w:hAnsiTheme="majorHAnsi" w:cstheme="majorHAnsi"/>
          <w:i/>
          <w:iCs/>
          <w:w w:val="105"/>
          <w:sz w:val="24"/>
          <w:szCs w:val="24"/>
          <w:lang w:val="en-US"/>
        </w:rPr>
        <w:t>borrowing</w:t>
      </w:r>
      <w:r w:rsidRPr="00A123BE">
        <w:rPr>
          <w:rFonts w:asciiTheme="majorHAnsi" w:hAnsiTheme="majorHAnsi" w:cstheme="majorHAnsi"/>
          <w:i/>
          <w:iCs/>
          <w:spacing w:val="21"/>
          <w:w w:val="105"/>
          <w:sz w:val="24"/>
          <w:szCs w:val="24"/>
          <w:lang w:val="en-US"/>
        </w:rPr>
        <w:t xml:space="preserve"> </w:t>
      </w:r>
      <w:r w:rsidRPr="00A123BE">
        <w:rPr>
          <w:rFonts w:asciiTheme="majorHAnsi" w:hAnsiTheme="majorHAnsi" w:cstheme="majorHAnsi"/>
          <w:i/>
          <w:iCs/>
          <w:w w:val="105"/>
          <w:sz w:val="24"/>
          <w:szCs w:val="24"/>
          <w:lang w:val="en-US"/>
        </w:rPr>
        <w:t>and</w:t>
      </w:r>
      <w:r w:rsidRPr="00A123BE">
        <w:rPr>
          <w:rFonts w:asciiTheme="majorHAnsi" w:hAnsiTheme="majorHAnsi" w:cstheme="majorHAnsi"/>
          <w:i/>
          <w:iCs/>
          <w:spacing w:val="19"/>
          <w:w w:val="105"/>
          <w:sz w:val="24"/>
          <w:szCs w:val="24"/>
          <w:lang w:val="en-US"/>
        </w:rPr>
        <w:t xml:space="preserve"> </w:t>
      </w:r>
      <w:r w:rsidRPr="00A123BE">
        <w:rPr>
          <w:rFonts w:asciiTheme="majorHAnsi" w:hAnsiTheme="majorHAnsi" w:cstheme="majorHAnsi"/>
          <w:i/>
          <w:iCs/>
          <w:w w:val="105"/>
          <w:sz w:val="24"/>
          <w:szCs w:val="24"/>
          <w:lang w:val="en-US"/>
        </w:rPr>
        <w:t>lending</w:t>
      </w:r>
    </w:p>
    <w:p w14:paraId="099AA4CE" w14:textId="4F04F099" w:rsidR="00A123BE" w:rsidRPr="00D70F91" w:rsidRDefault="00A123BE" w:rsidP="00A123BE">
      <w:pPr>
        <w:kinsoku w:val="0"/>
        <w:overflowPunct w:val="0"/>
        <w:autoSpaceDE w:val="0"/>
        <w:autoSpaceDN w:val="0"/>
        <w:adjustRightInd w:val="0"/>
        <w:spacing w:before="11" w:after="0" w:line="249" w:lineRule="auto"/>
        <w:ind w:left="238" w:right="117" w:hanging="201"/>
        <w:jc w:val="both"/>
        <w:rPr>
          <w:rFonts w:asciiTheme="majorHAnsi" w:hAnsiTheme="majorHAnsi" w:cstheme="majorHAnsi"/>
          <w:w w:val="105"/>
          <w:sz w:val="24"/>
          <w:szCs w:val="24"/>
          <w:lang w:val="en-US"/>
        </w:rPr>
      </w:pPr>
      <w:r w:rsidRPr="00A123BE">
        <w:rPr>
          <w:rFonts w:asciiTheme="majorHAnsi" w:hAnsiTheme="majorHAnsi" w:cstheme="majorHAnsi"/>
          <w:w w:val="105"/>
          <w:sz w:val="24"/>
          <w:szCs w:val="24"/>
          <w:lang w:val="en-US"/>
        </w:rPr>
        <w:t>(pp.</w:t>
      </w:r>
      <w:r w:rsidRPr="00A123BE">
        <w:rPr>
          <w:rFonts w:asciiTheme="majorHAnsi" w:hAnsiTheme="majorHAnsi" w:cstheme="majorHAnsi"/>
          <w:spacing w:val="21"/>
          <w:w w:val="105"/>
          <w:sz w:val="24"/>
          <w:szCs w:val="24"/>
          <w:lang w:val="en-US"/>
        </w:rPr>
        <w:t xml:space="preserve"> </w:t>
      </w:r>
      <w:r w:rsidRPr="00A123BE">
        <w:rPr>
          <w:rFonts w:asciiTheme="majorHAnsi" w:hAnsiTheme="majorHAnsi" w:cstheme="majorHAnsi"/>
          <w:w w:val="105"/>
          <w:sz w:val="24"/>
          <w:szCs w:val="24"/>
          <w:lang w:val="en-US"/>
        </w:rPr>
        <w:t>29–53).</w:t>
      </w:r>
      <w:r w:rsidRPr="00A123BE">
        <w:rPr>
          <w:rFonts w:asciiTheme="majorHAnsi" w:hAnsiTheme="majorHAnsi" w:cstheme="majorHAnsi"/>
          <w:spacing w:val="20"/>
          <w:w w:val="105"/>
          <w:sz w:val="24"/>
          <w:szCs w:val="24"/>
          <w:lang w:val="en-US"/>
        </w:rPr>
        <w:t xml:space="preserve"> </w:t>
      </w:r>
      <w:r w:rsidRPr="00D70F91">
        <w:rPr>
          <w:rFonts w:asciiTheme="majorHAnsi" w:hAnsiTheme="majorHAnsi" w:cstheme="majorHAnsi"/>
          <w:w w:val="105"/>
          <w:sz w:val="24"/>
          <w:szCs w:val="24"/>
          <w:lang w:val="en-US"/>
        </w:rPr>
        <w:t>New</w:t>
      </w:r>
      <w:r w:rsidRPr="00D70F91">
        <w:rPr>
          <w:rFonts w:asciiTheme="majorHAnsi" w:hAnsiTheme="majorHAnsi" w:cstheme="majorHAnsi"/>
          <w:spacing w:val="20"/>
          <w:w w:val="105"/>
          <w:sz w:val="24"/>
          <w:szCs w:val="24"/>
          <w:lang w:val="en-US"/>
        </w:rPr>
        <w:t xml:space="preserve"> </w:t>
      </w:r>
      <w:r w:rsidRPr="00D70F91">
        <w:rPr>
          <w:rFonts w:asciiTheme="majorHAnsi" w:hAnsiTheme="majorHAnsi" w:cstheme="majorHAnsi"/>
          <w:w w:val="105"/>
          <w:sz w:val="24"/>
          <w:szCs w:val="24"/>
          <w:lang w:val="en-US"/>
        </w:rPr>
        <w:t>York:</w:t>
      </w:r>
      <w:r w:rsidRPr="00D70F91">
        <w:rPr>
          <w:rFonts w:asciiTheme="majorHAnsi" w:hAnsiTheme="majorHAnsi" w:cstheme="majorHAnsi"/>
          <w:spacing w:val="-11"/>
          <w:w w:val="105"/>
          <w:sz w:val="24"/>
          <w:szCs w:val="24"/>
          <w:lang w:val="en-US"/>
        </w:rPr>
        <w:t xml:space="preserve"> </w:t>
      </w:r>
      <w:r w:rsidRPr="00D70F91">
        <w:rPr>
          <w:rFonts w:asciiTheme="majorHAnsi" w:hAnsiTheme="majorHAnsi" w:cstheme="majorHAnsi"/>
          <w:w w:val="105"/>
          <w:sz w:val="24"/>
          <w:szCs w:val="24"/>
          <w:lang w:val="en-US"/>
        </w:rPr>
        <w:t>Teachers</w:t>
      </w:r>
      <w:r w:rsidRPr="00D70F91">
        <w:rPr>
          <w:rFonts w:asciiTheme="majorHAnsi" w:hAnsiTheme="majorHAnsi" w:cstheme="majorHAnsi"/>
          <w:spacing w:val="-4"/>
          <w:w w:val="105"/>
          <w:sz w:val="24"/>
          <w:szCs w:val="24"/>
          <w:lang w:val="en-US"/>
        </w:rPr>
        <w:t xml:space="preserve"> </w:t>
      </w:r>
      <w:r w:rsidRPr="00D70F91">
        <w:rPr>
          <w:rFonts w:asciiTheme="majorHAnsi" w:hAnsiTheme="majorHAnsi" w:cstheme="majorHAnsi"/>
          <w:w w:val="105"/>
          <w:sz w:val="24"/>
          <w:szCs w:val="24"/>
          <w:lang w:val="en-US"/>
        </w:rPr>
        <w:t>College</w:t>
      </w:r>
      <w:r w:rsidRPr="00D70F91">
        <w:rPr>
          <w:rFonts w:asciiTheme="majorHAnsi" w:hAnsiTheme="majorHAnsi" w:cstheme="majorHAnsi"/>
          <w:spacing w:val="-3"/>
          <w:w w:val="105"/>
          <w:sz w:val="24"/>
          <w:szCs w:val="24"/>
          <w:lang w:val="en-US"/>
        </w:rPr>
        <w:t xml:space="preserve"> </w:t>
      </w:r>
      <w:r w:rsidRPr="00D70F91">
        <w:rPr>
          <w:rFonts w:asciiTheme="majorHAnsi" w:hAnsiTheme="majorHAnsi" w:cstheme="majorHAnsi"/>
          <w:w w:val="105"/>
          <w:sz w:val="24"/>
          <w:szCs w:val="24"/>
          <w:lang w:val="en-US"/>
        </w:rPr>
        <w:t>Press.</w:t>
      </w:r>
    </w:p>
    <w:p w14:paraId="18CD0452" w14:textId="77777777" w:rsidR="00A123BE" w:rsidRDefault="00A123BE" w:rsidP="0084447E">
      <w:pPr>
        <w:autoSpaceDE w:val="0"/>
        <w:autoSpaceDN w:val="0"/>
        <w:adjustRightInd w:val="0"/>
        <w:spacing w:after="0" w:line="240" w:lineRule="auto"/>
        <w:rPr>
          <w:rFonts w:asciiTheme="majorHAnsi" w:hAnsiTheme="majorHAnsi" w:cstheme="majorHAnsi"/>
          <w:sz w:val="24"/>
          <w:szCs w:val="24"/>
          <w:lang w:val="en-US"/>
        </w:rPr>
      </w:pPr>
    </w:p>
    <w:p w14:paraId="660EBED0" w14:textId="69C07ECA" w:rsidR="00CD3653" w:rsidRPr="00831D36" w:rsidRDefault="00CD3653" w:rsidP="0084447E">
      <w:pPr>
        <w:autoSpaceDE w:val="0"/>
        <w:autoSpaceDN w:val="0"/>
        <w:adjustRightInd w:val="0"/>
        <w:spacing w:after="0" w:line="240" w:lineRule="auto"/>
        <w:rPr>
          <w:rStyle w:val="markedcontent"/>
          <w:sz w:val="24"/>
          <w:szCs w:val="24"/>
          <w:lang w:val="en-US"/>
        </w:rPr>
      </w:pPr>
      <w:r w:rsidRPr="00831D36">
        <w:rPr>
          <w:rFonts w:asciiTheme="majorHAnsi" w:hAnsiTheme="majorHAnsi" w:cstheme="majorHAnsi"/>
          <w:sz w:val="24"/>
          <w:szCs w:val="24"/>
          <w:lang w:val="en-US"/>
        </w:rPr>
        <w:t>Sivesind; Afsar &amp; Bachmann, 2016. Transnational policy t</w:t>
      </w:r>
      <w:r>
        <w:rPr>
          <w:rFonts w:asciiTheme="majorHAnsi" w:hAnsiTheme="majorHAnsi" w:cstheme="majorHAnsi"/>
          <w:sz w:val="24"/>
          <w:szCs w:val="24"/>
          <w:lang w:val="en-US"/>
        </w:rPr>
        <w:t xml:space="preserve">ransfer over three curriculum reforms in Finland: the construction of conditional and purposive programs (1994-2016). </w:t>
      </w:r>
      <w:r>
        <w:rPr>
          <w:rFonts w:asciiTheme="majorHAnsi" w:hAnsiTheme="majorHAnsi" w:cstheme="majorHAnsi"/>
          <w:i/>
          <w:iCs/>
          <w:sz w:val="24"/>
          <w:szCs w:val="24"/>
          <w:lang w:val="en-US"/>
        </w:rPr>
        <w:t>European Educational Research Journal 6</w:t>
      </w:r>
      <w:r>
        <w:rPr>
          <w:rFonts w:asciiTheme="majorHAnsi" w:hAnsiTheme="majorHAnsi" w:cstheme="majorHAnsi"/>
          <w:sz w:val="24"/>
          <w:szCs w:val="24"/>
          <w:lang w:val="en-US"/>
        </w:rPr>
        <w:t>(3), 345-365.</w:t>
      </w:r>
    </w:p>
    <w:p w14:paraId="5EBB1268" w14:textId="7D5983B8" w:rsidR="00CD3653" w:rsidRDefault="00CD3653" w:rsidP="00CD3653">
      <w:pPr>
        <w:autoSpaceDE w:val="0"/>
        <w:autoSpaceDN w:val="0"/>
        <w:adjustRightInd w:val="0"/>
        <w:spacing w:after="0" w:line="360" w:lineRule="auto"/>
        <w:rPr>
          <w:rStyle w:val="markedcontent"/>
          <w:sz w:val="24"/>
          <w:szCs w:val="24"/>
          <w:lang w:val="en-US"/>
        </w:rPr>
      </w:pPr>
    </w:p>
    <w:p w14:paraId="6E1F307D" w14:textId="415C2E7E" w:rsidR="005F463F" w:rsidRPr="00657D2B" w:rsidRDefault="005F463F" w:rsidP="00657D2B">
      <w:pPr>
        <w:autoSpaceDE w:val="0"/>
        <w:autoSpaceDN w:val="0"/>
        <w:adjustRightInd w:val="0"/>
        <w:spacing w:after="0" w:line="240" w:lineRule="auto"/>
        <w:rPr>
          <w:rStyle w:val="markedcontent"/>
          <w:sz w:val="24"/>
          <w:szCs w:val="24"/>
          <w:lang w:val="en-US"/>
        </w:rPr>
      </w:pPr>
      <w:r w:rsidRPr="00657D2B">
        <w:rPr>
          <w:rFonts w:asciiTheme="majorHAnsi" w:hAnsiTheme="majorHAnsi" w:cstheme="majorHAnsi"/>
          <w:sz w:val="24"/>
          <w:szCs w:val="24"/>
          <w:lang w:val="en-US"/>
        </w:rPr>
        <w:t xml:space="preserve">Steiner-Khamsi, </w:t>
      </w:r>
      <w:r w:rsidR="00657D2B" w:rsidRPr="00657D2B">
        <w:rPr>
          <w:rFonts w:asciiTheme="majorHAnsi" w:hAnsiTheme="majorHAnsi" w:cstheme="majorHAnsi"/>
          <w:sz w:val="24"/>
          <w:szCs w:val="24"/>
          <w:lang w:val="en-US"/>
        </w:rPr>
        <w:t>G. (</w:t>
      </w:r>
      <w:r w:rsidRPr="00657D2B">
        <w:rPr>
          <w:rFonts w:asciiTheme="majorHAnsi" w:hAnsiTheme="majorHAnsi" w:cstheme="majorHAnsi"/>
          <w:sz w:val="24"/>
          <w:szCs w:val="24"/>
          <w:lang w:val="en-US"/>
        </w:rPr>
        <w:t>2013</w:t>
      </w:r>
      <w:r w:rsidR="00657D2B" w:rsidRPr="00657D2B">
        <w:rPr>
          <w:rFonts w:asciiTheme="majorHAnsi" w:hAnsiTheme="majorHAnsi" w:cstheme="majorHAnsi"/>
          <w:sz w:val="24"/>
          <w:szCs w:val="24"/>
          <w:lang w:val="en-US"/>
        </w:rPr>
        <w:t>). What is wrong with the ’</w:t>
      </w:r>
      <w:r w:rsidR="00657D2B">
        <w:rPr>
          <w:rFonts w:asciiTheme="majorHAnsi" w:hAnsiTheme="majorHAnsi" w:cstheme="majorHAnsi"/>
          <w:sz w:val="24"/>
          <w:szCs w:val="24"/>
          <w:lang w:val="en-US"/>
        </w:rPr>
        <w:t xml:space="preserve">what-went-right’ approach in educational policy? </w:t>
      </w:r>
      <w:r w:rsidR="00657D2B">
        <w:rPr>
          <w:rFonts w:asciiTheme="majorHAnsi" w:hAnsiTheme="majorHAnsi" w:cstheme="majorHAnsi"/>
          <w:i/>
          <w:iCs/>
          <w:sz w:val="24"/>
          <w:szCs w:val="24"/>
          <w:lang w:val="en-US"/>
        </w:rPr>
        <w:t>European Educational Research Journal 12</w:t>
      </w:r>
      <w:r w:rsidR="00657D2B">
        <w:rPr>
          <w:rFonts w:asciiTheme="majorHAnsi" w:hAnsiTheme="majorHAnsi" w:cstheme="majorHAnsi"/>
          <w:sz w:val="24"/>
          <w:szCs w:val="24"/>
          <w:lang w:val="en-US"/>
        </w:rPr>
        <w:t>(1), 20-33.</w:t>
      </w:r>
    </w:p>
    <w:p w14:paraId="7D714463" w14:textId="77777777" w:rsidR="005F463F" w:rsidRPr="00657D2B" w:rsidRDefault="005F463F" w:rsidP="00657D2B">
      <w:pPr>
        <w:autoSpaceDE w:val="0"/>
        <w:autoSpaceDN w:val="0"/>
        <w:adjustRightInd w:val="0"/>
        <w:spacing w:after="0" w:line="240" w:lineRule="auto"/>
        <w:rPr>
          <w:rStyle w:val="markedcontent"/>
          <w:sz w:val="24"/>
          <w:szCs w:val="24"/>
          <w:lang w:val="en-US"/>
        </w:rPr>
      </w:pPr>
    </w:p>
    <w:p w14:paraId="49BE0409" w14:textId="53EE9DEE" w:rsidR="00CD3653" w:rsidRPr="00A45F3B" w:rsidRDefault="00CD3653" w:rsidP="005D1DBE">
      <w:pPr>
        <w:autoSpaceDE w:val="0"/>
        <w:autoSpaceDN w:val="0"/>
        <w:adjustRightInd w:val="0"/>
        <w:spacing w:after="0" w:line="240" w:lineRule="auto"/>
        <w:rPr>
          <w:rFonts w:asciiTheme="majorHAnsi" w:hAnsiTheme="majorHAnsi" w:cstheme="majorHAnsi"/>
          <w:b/>
          <w:bCs/>
          <w:sz w:val="24"/>
          <w:szCs w:val="24"/>
          <w:lang w:val="en-US"/>
        </w:rPr>
      </w:pPr>
      <w:r w:rsidRPr="00E93CB6">
        <w:rPr>
          <w:rStyle w:val="markedcontent"/>
          <w:sz w:val="24"/>
          <w:szCs w:val="24"/>
          <w:lang w:val="en-US"/>
        </w:rPr>
        <w:t xml:space="preserve">Steiner Khamsi, G. (2016). </w:t>
      </w:r>
      <w:r w:rsidRPr="00C255E1">
        <w:rPr>
          <w:rStyle w:val="markedcontent"/>
          <w:rFonts w:asciiTheme="majorHAnsi" w:hAnsiTheme="majorHAnsi" w:cstheme="majorHAnsi"/>
          <w:sz w:val="24"/>
          <w:szCs w:val="24"/>
          <w:lang w:val="en-US"/>
        </w:rPr>
        <w:t>Global indicators and local problem</w:t>
      </w:r>
      <w:r w:rsidRPr="00C255E1">
        <w:rPr>
          <w:rFonts w:asciiTheme="majorHAnsi" w:hAnsiTheme="majorHAnsi" w:cstheme="majorHAnsi"/>
          <w:sz w:val="24"/>
          <w:szCs w:val="24"/>
          <w:lang w:val="en-US"/>
        </w:rPr>
        <w:t xml:space="preserve"> </w:t>
      </w:r>
      <w:r w:rsidRPr="00C255E1">
        <w:rPr>
          <w:rStyle w:val="markedcontent"/>
          <w:rFonts w:asciiTheme="majorHAnsi" w:hAnsiTheme="majorHAnsi" w:cstheme="majorHAnsi"/>
          <w:sz w:val="24"/>
          <w:szCs w:val="24"/>
          <w:lang w:val="en-US"/>
        </w:rPr>
        <w:t>recognition: An exploration into the</w:t>
      </w:r>
      <w:r w:rsidRPr="00C255E1">
        <w:rPr>
          <w:rFonts w:asciiTheme="majorHAnsi" w:hAnsiTheme="majorHAnsi" w:cstheme="majorHAnsi"/>
          <w:sz w:val="24"/>
          <w:szCs w:val="24"/>
          <w:lang w:val="en-US"/>
        </w:rPr>
        <w:t xml:space="preserve"> </w:t>
      </w:r>
      <w:r w:rsidRPr="00C255E1">
        <w:rPr>
          <w:rStyle w:val="markedcontent"/>
          <w:rFonts w:asciiTheme="majorHAnsi" w:hAnsiTheme="majorHAnsi" w:cstheme="majorHAnsi"/>
          <w:sz w:val="24"/>
          <w:szCs w:val="24"/>
          <w:lang w:val="en-US"/>
        </w:rPr>
        <w:t xml:space="preserve">statistical eradication of teacher shortage in the post‐socialist region. In </w:t>
      </w:r>
      <w:r w:rsidRPr="00C255E1">
        <w:rPr>
          <w:rStyle w:val="markedcontent"/>
          <w:sz w:val="24"/>
          <w:szCs w:val="24"/>
          <w:lang w:val="en-US"/>
        </w:rPr>
        <w:t>K. Mundy; A. Green, B. Lingard &amp; A. Verger,</w:t>
      </w:r>
      <w:r w:rsidRPr="00C255E1">
        <w:rPr>
          <w:sz w:val="24"/>
          <w:szCs w:val="24"/>
          <w:lang w:val="en-US"/>
        </w:rPr>
        <w:t xml:space="preserve"> </w:t>
      </w:r>
      <w:r w:rsidRPr="00C255E1">
        <w:rPr>
          <w:rStyle w:val="markedcontent"/>
          <w:i/>
          <w:iCs/>
          <w:sz w:val="24"/>
          <w:szCs w:val="24"/>
          <w:lang w:val="en-US"/>
        </w:rPr>
        <w:t xml:space="preserve">The </w:t>
      </w:r>
      <w:r>
        <w:rPr>
          <w:rStyle w:val="markedcontent"/>
          <w:i/>
          <w:iCs/>
          <w:sz w:val="24"/>
          <w:szCs w:val="24"/>
          <w:lang w:val="en-US"/>
        </w:rPr>
        <w:t>h</w:t>
      </w:r>
      <w:r w:rsidRPr="00C255E1">
        <w:rPr>
          <w:rStyle w:val="markedcontent"/>
          <w:i/>
          <w:iCs/>
          <w:sz w:val="24"/>
          <w:szCs w:val="24"/>
          <w:lang w:val="en-US"/>
        </w:rPr>
        <w:t xml:space="preserve">andbook of </w:t>
      </w:r>
      <w:r>
        <w:rPr>
          <w:rStyle w:val="markedcontent"/>
          <w:i/>
          <w:iCs/>
          <w:sz w:val="24"/>
          <w:szCs w:val="24"/>
          <w:lang w:val="en-US"/>
        </w:rPr>
        <w:t>g</w:t>
      </w:r>
      <w:r w:rsidRPr="00C255E1">
        <w:rPr>
          <w:rStyle w:val="markedcontent"/>
          <w:i/>
          <w:iCs/>
          <w:sz w:val="24"/>
          <w:szCs w:val="24"/>
          <w:lang w:val="en-US"/>
        </w:rPr>
        <w:t xml:space="preserve">lobal </w:t>
      </w:r>
      <w:r>
        <w:rPr>
          <w:rStyle w:val="markedcontent"/>
          <w:i/>
          <w:iCs/>
          <w:sz w:val="24"/>
          <w:szCs w:val="24"/>
          <w:lang w:val="en-US"/>
        </w:rPr>
        <w:t>e</w:t>
      </w:r>
      <w:r w:rsidRPr="00C255E1">
        <w:rPr>
          <w:rStyle w:val="markedcontent"/>
          <w:i/>
          <w:iCs/>
          <w:sz w:val="24"/>
          <w:szCs w:val="24"/>
          <w:lang w:val="en-US"/>
        </w:rPr>
        <w:t xml:space="preserve">ducation </w:t>
      </w:r>
      <w:r>
        <w:rPr>
          <w:rStyle w:val="markedcontent"/>
          <w:i/>
          <w:iCs/>
          <w:sz w:val="24"/>
          <w:szCs w:val="24"/>
          <w:lang w:val="en-US"/>
        </w:rPr>
        <w:t>p</w:t>
      </w:r>
      <w:r w:rsidRPr="00C255E1">
        <w:rPr>
          <w:rStyle w:val="markedcontent"/>
          <w:i/>
          <w:iCs/>
          <w:sz w:val="24"/>
          <w:szCs w:val="24"/>
          <w:lang w:val="en-US"/>
        </w:rPr>
        <w:t>olicy</w:t>
      </w:r>
      <w:r>
        <w:rPr>
          <w:rStyle w:val="markedcontent"/>
          <w:sz w:val="24"/>
          <w:szCs w:val="24"/>
          <w:lang w:val="en-US"/>
        </w:rPr>
        <w:t>, pp. 573-</w:t>
      </w:r>
      <w:r w:rsidRPr="00C255E1">
        <w:rPr>
          <w:rStyle w:val="markedcontent"/>
          <w:sz w:val="24"/>
          <w:szCs w:val="24"/>
          <w:lang w:val="en-US"/>
        </w:rPr>
        <w:t>589.</w:t>
      </w:r>
      <w:r w:rsidRPr="00C255E1">
        <w:rPr>
          <w:sz w:val="24"/>
          <w:szCs w:val="24"/>
          <w:lang w:val="en-US"/>
        </w:rPr>
        <w:t xml:space="preserve"> </w:t>
      </w:r>
      <w:r w:rsidRPr="00C255E1">
        <w:rPr>
          <w:rStyle w:val="markedcontent"/>
          <w:sz w:val="24"/>
          <w:szCs w:val="24"/>
          <w:lang w:val="en-US"/>
        </w:rPr>
        <w:t xml:space="preserve">John Wiley &amp; Sons, </w:t>
      </w:r>
    </w:p>
    <w:p w14:paraId="1B8EF6B7" w14:textId="77777777" w:rsidR="00BE63BF" w:rsidRDefault="00BE63BF" w:rsidP="005D1DBE">
      <w:pPr>
        <w:pStyle w:val="Default"/>
        <w:rPr>
          <w:rFonts w:ascii="Times New Roman" w:hAnsi="Times New Roman"/>
          <w:lang w:val="en-US"/>
        </w:rPr>
      </w:pPr>
    </w:p>
    <w:p w14:paraId="2F8653A4" w14:textId="4F1E128A" w:rsidR="005F463F" w:rsidRPr="00CA33FA" w:rsidRDefault="005F463F" w:rsidP="00CD3653">
      <w:pPr>
        <w:pStyle w:val="Default"/>
        <w:rPr>
          <w:rFonts w:asciiTheme="majorHAnsi" w:hAnsiTheme="majorHAnsi" w:cstheme="majorHAnsi"/>
          <w:lang w:val="en-US"/>
        </w:rPr>
      </w:pPr>
      <w:r>
        <w:rPr>
          <w:rFonts w:asciiTheme="majorHAnsi" w:hAnsiTheme="majorHAnsi" w:cstheme="majorHAnsi"/>
          <w:lang w:val="en-US"/>
        </w:rPr>
        <w:t>Verger,</w:t>
      </w:r>
      <w:r w:rsidR="00CA33FA">
        <w:rPr>
          <w:rFonts w:asciiTheme="majorHAnsi" w:hAnsiTheme="majorHAnsi" w:cstheme="majorHAnsi"/>
          <w:lang w:val="en-US"/>
        </w:rPr>
        <w:t xml:space="preserve"> A.</w:t>
      </w:r>
      <w:r>
        <w:rPr>
          <w:rFonts w:asciiTheme="majorHAnsi" w:hAnsiTheme="majorHAnsi" w:cstheme="majorHAnsi"/>
          <w:lang w:val="en-US"/>
        </w:rPr>
        <w:t xml:space="preserve"> </w:t>
      </w:r>
      <w:r w:rsidR="00CA33FA">
        <w:rPr>
          <w:rFonts w:asciiTheme="majorHAnsi" w:hAnsiTheme="majorHAnsi" w:cstheme="majorHAnsi"/>
          <w:lang w:val="en-US"/>
        </w:rPr>
        <w:t>(</w:t>
      </w:r>
      <w:r>
        <w:rPr>
          <w:rFonts w:asciiTheme="majorHAnsi" w:hAnsiTheme="majorHAnsi" w:cstheme="majorHAnsi"/>
          <w:lang w:val="en-US"/>
        </w:rPr>
        <w:t>2014</w:t>
      </w:r>
      <w:r w:rsidR="00CA33FA">
        <w:rPr>
          <w:rFonts w:asciiTheme="majorHAnsi" w:hAnsiTheme="majorHAnsi" w:cstheme="majorHAnsi"/>
          <w:lang w:val="en-US"/>
        </w:rPr>
        <w:t xml:space="preserve">). Why do policy-makers adopt global education policies? Toward a research framework on the varying role of ideas in education reform. </w:t>
      </w:r>
      <w:r w:rsidR="00CA33FA">
        <w:rPr>
          <w:rFonts w:asciiTheme="majorHAnsi" w:hAnsiTheme="majorHAnsi" w:cstheme="majorHAnsi"/>
          <w:i/>
          <w:iCs/>
          <w:lang w:val="en-US"/>
        </w:rPr>
        <w:t>Current Issues in Comparative Education 16</w:t>
      </w:r>
      <w:r w:rsidR="00CA33FA">
        <w:rPr>
          <w:rFonts w:asciiTheme="majorHAnsi" w:hAnsiTheme="majorHAnsi" w:cstheme="majorHAnsi"/>
          <w:lang w:val="en-US"/>
        </w:rPr>
        <w:t>(2), 14-29.</w:t>
      </w:r>
    </w:p>
    <w:p w14:paraId="02A3F5AB" w14:textId="77777777" w:rsidR="005F463F" w:rsidRDefault="005F463F" w:rsidP="00CD3653">
      <w:pPr>
        <w:pStyle w:val="Default"/>
        <w:rPr>
          <w:rFonts w:ascii="Times New Roman" w:hAnsi="Times New Roman"/>
          <w:lang w:val="en-US"/>
        </w:rPr>
      </w:pPr>
    </w:p>
    <w:p w14:paraId="19ADA876" w14:textId="24CB8A53" w:rsidR="00CD3653" w:rsidRPr="00D70F91" w:rsidRDefault="00CD3653" w:rsidP="00CD3653">
      <w:pPr>
        <w:pStyle w:val="Default"/>
        <w:rPr>
          <w:rFonts w:ascii="Times New Roman" w:hAnsi="Times New Roman" w:cs="Times New Roman"/>
          <w:lang w:val="en-US"/>
        </w:rPr>
      </w:pPr>
      <w:r>
        <w:rPr>
          <w:rFonts w:ascii="Times New Roman" w:hAnsi="Times New Roman"/>
          <w:lang w:val="en-US"/>
        </w:rPr>
        <w:t>Wahlstrom, N</w:t>
      </w:r>
      <w:r w:rsidR="005D1DBE">
        <w:rPr>
          <w:rFonts w:ascii="Times New Roman" w:hAnsi="Times New Roman"/>
          <w:lang w:val="en-US"/>
        </w:rPr>
        <w:t xml:space="preserve">. </w:t>
      </w:r>
      <w:r>
        <w:rPr>
          <w:rFonts w:ascii="Times New Roman" w:hAnsi="Times New Roman"/>
          <w:lang w:val="en-US"/>
        </w:rPr>
        <w:t>(2020). Current school reforms in transnational policy landscapes.</w:t>
      </w:r>
      <w:r w:rsidRPr="00874BF6">
        <w:rPr>
          <w:rFonts w:ascii="Times New Roman" w:hAnsi="Times New Roman"/>
          <w:lang w:val="en-US"/>
        </w:rPr>
        <w:t xml:space="preserve"> In</w:t>
      </w:r>
      <w:r>
        <w:rPr>
          <w:rFonts w:ascii="Times New Roman" w:hAnsi="Times New Roman"/>
          <w:lang w:val="en-US"/>
        </w:rPr>
        <w:t xml:space="preserve"> W.</w:t>
      </w:r>
      <w:r w:rsidRPr="00874BF6">
        <w:rPr>
          <w:rFonts w:ascii="Times New Roman" w:hAnsi="Times New Roman"/>
          <w:lang w:val="en-US"/>
        </w:rPr>
        <w:t xml:space="preserve"> Pink </w:t>
      </w:r>
      <w:r>
        <w:rPr>
          <w:rFonts w:ascii="Times New Roman" w:hAnsi="Times New Roman"/>
          <w:lang w:val="en-US"/>
        </w:rPr>
        <w:t xml:space="preserve">(Ed.): </w:t>
      </w:r>
      <w:r w:rsidRPr="00E904D4">
        <w:rPr>
          <w:rFonts w:ascii="Times New Roman" w:hAnsi="Times New Roman"/>
          <w:i/>
          <w:lang w:val="en-US"/>
        </w:rPr>
        <w:t>Oxford Research Encyclopedia of Education</w:t>
      </w:r>
      <w:r w:rsidRPr="00874BF6">
        <w:rPr>
          <w:rFonts w:ascii="Times New Roman" w:hAnsi="Times New Roman"/>
          <w:lang w:val="en-US"/>
        </w:rPr>
        <w:t>. New York:</w:t>
      </w:r>
      <w:r>
        <w:rPr>
          <w:rFonts w:ascii="Times New Roman" w:hAnsi="Times New Roman"/>
          <w:lang w:val="en-US"/>
        </w:rPr>
        <w:t xml:space="preserve"> Oxford University Press. </w:t>
      </w:r>
      <w:r w:rsidRPr="00E904D4">
        <w:rPr>
          <w:rFonts w:ascii="Times New Roman" w:hAnsi="Times New Roman" w:cs="Times New Roman"/>
          <w:lang w:val="en-US"/>
        </w:rPr>
        <w:t>Online Publication Date: Mar 2020</w:t>
      </w:r>
      <w:r>
        <w:rPr>
          <w:rFonts w:ascii="Times New Roman" w:hAnsi="Times New Roman" w:cs="Times New Roman"/>
          <w:lang w:val="en-US"/>
        </w:rPr>
        <w:t>. D</w:t>
      </w:r>
      <w:r w:rsidRPr="00E904D4">
        <w:rPr>
          <w:rFonts w:ascii="Times New Roman" w:hAnsi="Times New Roman" w:cs="Times New Roman"/>
          <w:lang w:val="en-US"/>
        </w:rPr>
        <w:t>oi:</w:t>
      </w:r>
      <w:r w:rsidRPr="00D70F91">
        <w:rPr>
          <w:rFonts w:ascii="Times New Roman" w:hAnsi="Times New Roman" w:cs="Times New Roman"/>
          <w:lang w:val="en-US"/>
        </w:rPr>
        <w:t xml:space="preserve"> 10.1093/acrefore/9780190264093.013.841 </w:t>
      </w:r>
    </w:p>
    <w:p w14:paraId="36246C84" w14:textId="379682BF" w:rsidR="00CD3653" w:rsidRDefault="00CD3653" w:rsidP="00CD3653">
      <w:pPr>
        <w:autoSpaceDE w:val="0"/>
        <w:autoSpaceDN w:val="0"/>
        <w:adjustRightInd w:val="0"/>
        <w:spacing w:after="0" w:line="360" w:lineRule="auto"/>
        <w:rPr>
          <w:rFonts w:asciiTheme="majorHAnsi" w:hAnsiTheme="majorHAnsi" w:cstheme="majorHAnsi"/>
          <w:b/>
          <w:bCs/>
          <w:sz w:val="24"/>
          <w:szCs w:val="24"/>
          <w:lang w:val="en-US"/>
        </w:rPr>
      </w:pPr>
    </w:p>
    <w:p w14:paraId="2422ABBC" w14:textId="01194D82" w:rsidR="005F463F" w:rsidRDefault="005F463F" w:rsidP="00F44E31">
      <w:pPr>
        <w:autoSpaceDE w:val="0"/>
        <w:autoSpaceDN w:val="0"/>
        <w:adjustRightInd w:val="0"/>
        <w:spacing w:after="0" w:line="240" w:lineRule="auto"/>
        <w:rPr>
          <w:rFonts w:asciiTheme="majorHAnsi" w:hAnsiTheme="majorHAnsi" w:cstheme="majorHAnsi"/>
          <w:sz w:val="24"/>
          <w:szCs w:val="24"/>
          <w:lang w:val="en-US"/>
        </w:rPr>
      </w:pPr>
      <w:r>
        <w:rPr>
          <w:rFonts w:asciiTheme="majorHAnsi" w:hAnsiTheme="majorHAnsi" w:cstheme="majorHAnsi"/>
          <w:sz w:val="24"/>
          <w:szCs w:val="24"/>
          <w:lang w:val="en-US"/>
        </w:rPr>
        <w:t>Waldow</w:t>
      </w:r>
      <w:r w:rsidR="00F44E31">
        <w:rPr>
          <w:rFonts w:asciiTheme="majorHAnsi" w:hAnsiTheme="majorHAnsi" w:cstheme="majorHAnsi"/>
          <w:sz w:val="24"/>
          <w:szCs w:val="24"/>
          <w:lang w:val="en-US"/>
        </w:rPr>
        <w:t>, F.</w:t>
      </w:r>
      <w:r>
        <w:rPr>
          <w:rFonts w:asciiTheme="majorHAnsi" w:hAnsiTheme="majorHAnsi" w:cstheme="majorHAnsi"/>
          <w:sz w:val="24"/>
          <w:szCs w:val="24"/>
          <w:lang w:val="en-US"/>
        </w:rPr>
        <w:t xml:space="preserve"> &amp; Steiner-Khamsi,</w:t>
      </w:r>
      <w:r w:rsidR="00F44E31">
        <w:rPr>
          <w:rFonts w:asciiTheme="majorHAnsi" w:hAnsiTheme="majorHAnsi" w:cstheme="majorHAnsi"/>
          <w:sz w:val="24"/>
          <w:szCs w:val="24"/>
          <w:lang w:val="en-US"/>
        </w:rPr>
        <w:t xml:space="preserve"> G.</w:t>
      </w:r>
      <w:r>
        <w:rPr>
          <w:rFonts w:asciiTheme="majorHAnsi" w:hAnsiTheme="majorHAnsi" w:cstheme="majorHAnsi"/>
          <w:sz w:val="24"/>
          <w:szCs w:val="24"/>
          <w:lang w:val="en-US"/>
        </w:rPr>
        <w:t xml:space="preserve"> </w:t>
      </w:r>
      <w:r w:rsidR="00F44E31">
        <w:rPr>
          <w:rFonts w:asciiTheme="majorHAnsi" w:hAnsiTheme="majorHAnsi" w:cstheme="majorHAnsi"/>
          <w:sz w:val="24"/>
          <w:szCs w:val="24"/>
          <w:lang w:val="en-US"/>
        </w:rPr>
        <w:t>(</w:t>
      </w:r>
      <w:r>
        <w:rPr>
          <w:rFonts w:asciiTheme="majorHAnsi" w:hAnsiTheme="majorHAnsi" w:cstheme="majorHAnsi"/>
          <w:sz w:val="24"/>
          <w:szCs w:val="24"/>
          <w:lang w:val="en-US"/>
        </w:rPr>
        <w:t>2019</w:t>
      </w:r>
      <w:r w:rsidR="00F44E31">
        <w:rPr>
          <w:rFonts w:asciiTheme="majorHAnsi" w:hAnsiTheme="majorHAnsi" w:cstheme="majorHAnsi"/>
          <w:sz w:val="24"/>
          <w:szCs w:val="24"/>
          <w:lang w:val="en-US"/>
        </w:rPr>
        <w:t xml:space="preserve">). </w:t>
      </w:r>
      <w:r w:rsidR="00F44E31">
        <w:rPr>
          <w:rFonts w:asciiTheme="majorHAnsi" w:hAnsiTheme="majorHAnsi" w:cstheme="majorHAnsi"/>
          <w:i/>
          <w:iCs/>
          <w:sz w:val="24"/>
          <w:szCs w:val="24"/>
          <w:lang w:val="en-US"/>
        </w:rPr>
        <w:t xml:space="preserve">Understanding PISA’s attractiveness: critical analyses in comparative policy studies. </w:t>
      </w:r>
      <w:r w:rsidR="00F44E31">
        <w:rPr>
          <w:rFonts w:asciiTheme="majorHAnsi" w:hAnsiTheme="majorHAnsi" w:cstheme="majorHAnsi"/>
          <w:sz w:val="24"/>
          <w:szCs w:val="24"/>
          <w:lang w:val="en-US"/>
        </w:rPr>
        <w:t>Bloomsbury.</w:t>
      </w:r>
    </w:p>
    <w:p w14:paraId="42BF1F03" w14:textId="77777777" w:rsidR="00F44E31" w:rsidRPr="00F44E31" w:rsidRDefault="00F44E31" w:rsidP="00F44E31">
      <w:pPr>
        <w:autoSpaceDE w:val="0"/>
        <w:autoSpaceDN w:val="0"/>
        <w:adjustRightInd w:val="0"/>
        <w:spacing w:after="0" w:line="240" w:lineRule="auto"/>
        <w:rPr>
          <w:rFonts w:asciiTheme="majorHAnsi" w:hAnsiTheme="majorHAnsi" w:cstheme="majorHAnsi"/>
          <w:b/>
          <w:bCs/>
          <w:sz w:val="24"/>
          <w:szCs w:val="24"/>
          <w:lang w:val="en-US"/>
        </w:rPr>
      </w:pPr>
    </w:p>
    <w:p w14:paraId="3F068DA0" w14:textId="65864328" w:rsidR="0083590A" w:rsidRPr="0083590A" w:rsidRDefault="00BE63BF" w:rsidP="0083590A">
      <w:pPr>
        <w:autoSpaceDE w:val="0"/>
        <w:autoSpaceDN w:val="0"/>
        <w:adjustRightInd w:val="0"/>
        <w:spacing w:after="0" w:line="240" w:lineRule="auto"/>
        <w:rPr>
          <w:rFonts w:asciiTheme="majorHAnsi" w:hAnsiTheme="majorHAnsi" w:cstheme="majorHAnsi"/>
          <w:b/>
          <w:bCs/>
          <w:sz w:val="24"/>
          <w:szCs w:val="24"/>
          <w:lang w:val="en-US"/>
        </w:rPr>
      </w:pPr>
      <w:r w:rsidRPr="008333A8">
        <w:rPr>
          <w:rFonts w:asciiTheme="majorHAnsi" w:hAnsiTheme="majorHAnsi" w:cstheme="majorHAnsi"/>
          <w:sz w:val="24"/>
          <w:szCs w:val="24"/>
        </w:rPr>
        <w:t xml:space="preserve">Ydesen,C.; Kauko, J. &amp; Ros Magnúsdóttir, B. (2022). </w:t>
      </w:r>
      <w:r w:rsidR="005D1DBE" w:rsidRPr="005D1DBE">
        <w:rPr>
          <w:rFonts w:asciiTheme="majorHAnsi" w:hAnsiTheme="majorHAnsi" w:cstheme="majorHAnsi"/>
          <w:sz w:val="24"/>
          <w:szCs w:val="24"/>
          <w:lang w:val="en-US"/>
        </w:rPr>
        <w:t xml:space="preserve">The OECD and the field of knowledge brokers in Danish, </w:t>
      </w:r>
      <w:r w:rsidR="005D1DBE">
        <w:rPr>
          <w:rFonts w:asciiTheme="majorHAnsi" w:hAnsiTheme="majorHAnsi" w:cstheme="majorHAnsi"/>
          <w:sz w:val="24"/>
          <w:szCs w:val="24"/>
          <w:lang w:val="en-US"/>
        </w:rPr>
        <w:t>Finnish and Icelandic education policy. In</w:t>
      </w:r>
      <w:r w:rsidR="0083590A">
        <w:rPr>
          <w:rFonts w:asciiTheme="majorHAnsi" w:hAnsiTheme="majorHAnsi" w:cstheme="majorHAnsi"/>
          <w:sz w:val="24"/>
          <w:szCs w:val="24"/>
          <w:lang w:val="en-US"/>
        </w:rPr>
        <w:t xml:space="preserve"> B. </w:t>
      </w:r>
      <w:r w:rsidR="0083590A" w:rsidRPr="0083590A">
        <w:rPr>
          <w:rFonts w:asciiTheme="majorHAnsi" w:hAnsiTheme="majorHAnsi" w:cstheme="majorHAnsi"/>
          <w:sz w:val="24"/>
          <w:szCs w:val="24"/>
          <w:lang w:val="en-US"/>
        </w:rPr>
        <w:t>Karseth</w:t>
      </w:r>
      <w:r w:rsidR="0083590A">
        <w:rPr>
          <w:rFonts w:asciiTheme="majorHAnsi" w:hAnsiTheme="majorHAnsi" w:cstheme="majorHAnsi"/>
          <w:sz w:val="24"/>
          <w:szCs w:val="24"/>
          <w:lang w:val="en-US"/>
        </w:rPr>
        <w:t xml:space="preserve">.; K. Sivesind &amp; G. Steiner-Khamsi (Eds.), </w:t>
      </w:r>
      <w:r w:rsidR="0083590A">
        <w:rPr>
          <w:rFonts w:asciiTheme="majorHAnsi" w:hAnsiTheme="majorHAnsi" w:cstheme="majorHAnsi"/>
          <w:i/>
          <w:iCs/>
          <w:sz w:val="24"/>
          <w:szCs w:val="24"/>
          <w:lang w:val="en-US"/>
        </w:rPr>
        <w:t xml:space="preserve">Evidence and expertise in Nordic education policy. A comparative network analysis, </w:t>
      </w:r>
      <w:r w:rsidR="0083590A">
        <w:rPr>
          <w:rFonts w:asciiTheme="majorHAnsi" w:hAnsiTheme="majorHAnsi" w:cstheme="majorHAnsi"/>
          <w:sz w:val="24"/>
          <w:szCs w:val="24"/>
          <w:lang w:val="en-US"/>
        </w:rPr>
        <w:t>pp</w:t>
      </w:r>
      <w:r w:rsidR="0083590A">
        <w:rPr>
          <w:rFonts w:asciiTheme="majorHAnsi" w:hAnsiTheme="majorHAnsi" w:cstheme="majorHAnsi"/>
          <w:i/>
          <w:iCs/>
          <w:sz w:val="24"/>
          <w:szCs w:val="24"/>
          <w:lang w:val="en-US"/>
        </w:rPr>
        <w:t xml:space="preserve">. </w:t>
      </w:r>
      <w:r w:rsidR="0083590A">
        <w:rPr>
          <w:rFonts w:asciiTheme="majorHAnsi" w:hAnsiTheme="majorHAnsi" w:cstheme="majorHAnsi"/>
          <w:sz w:val="24"/>
          <w:szCs w:val="24"/>
          <w:lang w:val="en-US"/>
        </w:rPr>
        <w:t>321-348.</w:t>
      </w:r>
      <w:r w:rsidR="0083590A">
        <w:rPr>
          <w:rFonts w:asciiTheme="majorHAnsi" w:hAnsiTheme="majorHAnsi" w:cstheme="majorHAnsi"/>
          <w:i/>
          <w:iCs/>
          <w:sz w:val="24"/>
          <w:szCs w:val="24"/>
          <w:lang w:val="en-US"/>
        </w:rPr>
        <w:t xml:space="preserve"> </w:t>
      </w:r>
      <w:r w:rsidR="0083590A">
        <w:rPr>
          <w:rFonts w:asciiTheme="majorHAnsi" w:hAnsiTheme="majorHAnsi" w:cstheme="majorHAnsi"/>
          <w:sz w:val="24"/>
          <w:szCs w:val="24"/>
          <w:lang w:val="en-US"/>
        </w:rPr>
        <w:t>Palgrave Macmillan.</w:t>
      </w:r>
    </w:p>
    <w:p w14:paraId="2AE7BBE1" w14:textId="79740F82" w:rsidR="00BE63BF" w:rsidRPr="005D1DBE" w:rsidRDefault="00BE63BF" w:rsidP="00CD3653">
      <w:pPr>
        <w:autoSpaceDE w:val="0"/>
        <w:autoSpaceDN w:val="0"/>
        <w:adjustRightInd w:val="0"/>
        <w:spacing w:after="0" w:line="360" w:lineRule="auto"/>
        <w:rPr>
          <w:rFonts w:asciiTheme="majorHAnsi" w:hAnsiTheme="majorHAnsi" w:cstheme="majorHAnsi"/>
          <w:b/>
          <w:bCs/>
          <w:sz w:val="24"/>
          <w:szCs w:val="24"/>
          <w:lang w:val="en-US"/>
        </w:rPr>
      </w:pPr>
    </w:p>
    <w:p w14:paraId="34FCEA2E" w14:textId="0000E263" w:rsidR="00CD3653" w:rsidRDefault="00CD3653" w:rsidP="00CD3653">
      <w:pPr>
        <w:autoSpaceDE w:val="0"/>
        <w:autoSpaceDN w:val="0"/>
        <w:adjustRightInd w:val="0"/>
        <w:spacing w:after="0" w:line="360" w:lineRule="auto"/>
        <w:rPr>
          <w:rFonts w:asciiTheme="majorHAnsi" w:hAnsiTheme="majorHAnsi" w:cstheme="majorHAnsi"/>
          <w:sz w:val="24"/>
          <w:szCs w:val="24"/>
          <w:lang w:val="en-US"/>
        </w:rPr>
      </w:pPr>
    </w:p>
    <w:p w14:paraId="614B6ADC" w14:textId="5B1699A3" w:rsidR="00875F72" w:rsidRDefault="00875F72" w:rsidP="00875F72">
      <w:pPr>
        <w:spacing w:after="240"/>
        <w:rPr>
          <w:rFonts w:cs="Times New Roman"/>
          <w:b/>
          <w:sz w:val="28"/>
          <w:szCs w:val="28"/>
          <w:lang w:val="en-US"/>
        </w:rPr>
      </w:pPr>
      <w:r w:rsidRPr="00875F72">
        <w:rPr>
          <w:rFonts w:cs="Times New Roman"/>
          <w:b/>
          <w:sz w:val="28"/>
          <w:szCs w:val="28"/>
          <w:lang w:val="en-US"/>
        </w:rPr>
        <w:t>The Nordic data and research as evidence in the OECD future curriculum narrative</w:t>
      </w:r>
    </w:p>
    <w:p w14:paraId="37E52CC2" w14:textId="77777777" w:rsidR="00B55811" w:rsidRDefault="00875F72" w:rsidP="00FC692D">
      <w:pPr>
        <w:rPr>
          <w:rFonts w:ascii="Times New Roman" w:eastAsia="Times New Roman" w:hAnsi="Times New Roman" w:cs="Times New Roman"/>
          <w:color w:val="auto"/>
          <w:sz w:val="24"/>
          <w:szCs w:val="24"/>
          <w:lang w:eastAsia="sv-SE"/>
        </w:rPr>
      </w:pPr>
      <w:r w:rsidRPr="00FC692D">
        <w:rPr>
          <w:rFonts w:cs="Times New Roman"/>
          <w:bCs/>
          <w:i/>
          <w:iCs/>
          <w:sz w:val="24"/>
          <w:szCs w:val="24"/>
        </w:rPr>
        <w:t xml:space="preserve">Berit Karseth, </w:t>
      </w:r>
      <w:r w:rsidR="00FC692D" w:rsidRPr="00FC692D">
        <w:rPr>
          <w:rFonts w:ascii="Times New Roman" w:eastAsia="Times New Roman" w:hAnsi="Times New Roman" w:cs="Times New Roman"/>
          <w:i/>
          <w:iCs/>
          <w:color w:val="auto"/>
          <w:sz w:val="24"/>
          <w:szCs w:val="24"/>
          <w:lang w:eastAsia="sv-SE"/>
        </w:rPr>
        <w:t>Simona Bernotaite</w:t>
      </w:r>
      <w:r w:rsidR="00FC692D" w:rsidRPr="00FC692D">
        <w:rPr>
          <w:rFonts w:ascii="Times New Roman" w:eastAsia="Times New Roman" w:hAnsi="Times New Roman" w:cs="Times New Roman"/>
          <w:color w:val="auto"/>
          <w:sz w:val="24"/>
          <w:szCs w:val="24"/>
          <w:lang w:eastAsia="sv-SE"/>
        </w:rPr>
        <w:t xml:space="preserve"> </w:t>
      </w:r>
      <w:r w:rsidR="00FC692D">
        <w:rPr>
          <w:rFonts w:ascii="Times New Roman" w:eastAsia="Times New Roman" w:hAnsi="Times New Roman" w:cs="Times New Roman"/>
          <w:color w:val="auto"/>
          <w:sz w:val="24"/>
          <w:szCs w:val="24"/>
          <w:lang w:eastAsia="sv-SE"/>
        </w:rPr>
        <w:t>&amp;</w:t>
      </w:r>
      <w:r w:rsidR="00FC692D" w:rsidRPr="00FC692D">
        <w:rPr>
          <w:rFonts w:ascii="Times New Roman" w:eastAsia="Times New Roman" w:hAnsi="Times New Roman" w:cs="Times New Roman"/>
          <w:color w:val="auto"/>
          <w:sz w:val="24"/>
          <w:szCs w:val="24"/>
          <w:lang w:eastAsia="sv-SE"/>
        </w:rPr>
        <w:t xml:space="preserve"> </w:t>
      </w:r>
      <w:r w:rsidR="00FC692D" w:rsidRPr="00FC692D">
        <w:rPr>
          <w:rFonts w:ascii="Times New Roman" w:eastAsia="Times New Roman" w:hAnsi="Times New Roman" w:cs="Times New Roman"/>
          <w:i/>
          <w:iCs/>
          <w:color w:val="auto"/>
          <w:sz w:val="24"/>
          <w:szCs w:val="24"/>
          <w:lang w:eastAsia="sv-SE"/>
        </w:rPr>
        <w:t>Anniken Hotvedt Sundby</w:t>
      </w:r>
      <w:r w:rsidR="00FC692D">
        <w:rPr>
          <w:rFonts w:ascii="Times New Roman" w:eastAsia="Times New Roman" w:hAnsi="Times New Roman" w:cs="Times New Roman"/>
          <w:color w:val="auto"/>
          <w:sz w:val="24"/>
          <w:szCs w:val="24"/>
          <w:lang w:eastAsia="sv-SE"/>
        </w:rPr>
        <w:t xml:space="preserve"> </w:t>
      </w:r>
    </w:p>
    <w:p w14:paraId="0D10DB28" w14:textId="6DC84AA9" w:rsidR="00875F72" w:rsidRDefault="00875F72" w:rsidP="00FC692D">
      <w:pPr>
        <w:rPr>
          <w:rFonts w:cs="Times New Roman"/>
          <w:bCs/>
          <w:i/>
          <w:iCs/>
          <w:sz w:val="24"/>
          <w:szCs w:val="24"/>
          <w:lang w:val="en-US"/>
        </w:rPr>
      </w:pPr>
      <w:r w:rsidRPr="00875F72">
        <w:rPr>
          <w:rFonts w:cs="Times New Roman"/>
          <w:bCs/>
          <w:i/>
          <w:iCs/>
          <w:sz w:val="24"/>
          <w:szCs w:val="24"/>
          <w:lang w:val="en-US"/>
        </w:rPr>
        <w:t>Oslo University</w:t>
      </w:r>
      <w:r w:rsidR="00345486">
        <w:rPr>
          <w:rFonts w:cs="Times New Roman"/>
          <w:bCs/>
          <w:i/>
          <w:iCs/>
          <w:sz w:val="24"/>
          <w:szCs w:val="24"/>
          <w:lang w:val="en-US"/>
        </w:rPr>
        <w:t>, Norway</w:t>
      </w:r>
    </w:p>
    <w:p w14:paraId="5B223C1A" w14:textId="77777777" w:rsidR="00FC692D" w:rsidRPr="00E07311" w:rsidRDefault="00FC692D" w:rsidP="00FC692D">
      <w:pPr>
        <w:rPr>
          <w:rFonts w:ascii="Times New Roman" w:eastAsia="Times New Roman" w:hAnsi="Times New Roman" w:cs="Times New Roman"/>
          <w:color w:val="auto"/>
          <w:sz w:val="24"/>
          <w:szCs w:val="24"/>
          <w:lang w:val="en-US" w:eastAsia="sv-SE"/>
        </w:rPr>
      </w:pPr>
    </w:p>
    <w:p w14:paraId="66C73438" w14:textId="77777777" w:rsidR="004F1D5E" w:rsidRDefault="00875F72" w:rsidP="004F1D5E">
      <w:pPr>
        <w:spacing w:after="240" w:line="360" w:lineRule="auto"/>
        <w:rPr>
          <w:rStyle w:val="q4iawc"/>
          <w:sz w:val="24"/>
          <w:szCs w:val="24"/>
          <w:lang w:val="en"/>
        </w:rPr>
      </w:pPr>
      <w:r w:rsidRPr="00875F72">
        <w:rPr>
          <w:rFonts w:cs="Times New Roman"/>
          <w:sz w:val="24"/>
          <w:szCs w:val="24"/>
          <w:lang w:val="en-US"/>
        </w:rPr>
        <w:t xml:space="preserve">Through the capacity to collect and utilize comparative country data, the Organisation for Economic Co-operation and Development (OECD) has become a "powerhouse” </w:t>
      </w:r>
      <w:r w:rsidRPr="00875F72">
        <w:rPr>
          <w:rFonts w:cs="Times New Roman"/>
          <w:sz w:val="24"/>
          <w:szCs w:val="24"/>
        </w:rPr>
        <w:fldChar w:fldCharType="begin"/>
      </w:r>
      <w:r w:rsidRPr="00875F72">
        <w:rPr>
          <w:rFonts w:cs="Times New Roman"/>
          <w:sz w:val="24"/>
          <w:szCs w:val="24"/>
          <w:lang w:val="en-US"/>
        </w:rPr>
        <w:instrText xml:space="preserve"> ADDIN ZOTERO_ITEM CSL_CITATION {"citationID":"Bzarpo5Q","properties":{"formattedCitation":"(Grek, 2014)","plainCitation":"(Grek, 2014)","noteIndex":0},"citationItems":[{"id":577,"uris":["http://zotero.org/users/7468684/items/DKRUWPLB"],"uri":["http://zotero.org/users/7468684/items/DKRUWPLB"],"itemData":{"id":577,"type":"article-journal","container-title":"Critical Policy Studies","DOI":"10.1080/19460171.2013.862503","ISSN":"1946-0171","issue":"3","journalAbbreviation":"null","note":"publisher: Routledge","page":"266-281","title":"OECD as a site of coproduction: European education governance and the new politics of ‘policy mobilization’","volume":"8","author":[{"family":"Grek","given":"Sotiria"}],"issued":{"date-parts":[["2014",7,3]]}}}],"schema":"https://github.com/citation-style-language/schema/raw/master/csl-citation.json"} </w:instrText>
      </w:r>
      <w:r w:rsidRPr="00875F72">
        <w:rPr>
          <w:rFonts w:cs="Times New Roman"/>
          <w:sz w:val="24"/>
          <w:szCs w:val="24"/>
        </w:rPr>
        <w:fldChar w:fldCharType="separate"/>
      </w:r>
      <w:r w:rsidRPr="00875F72">
        <w:rPr>
          <w:rFonts w:cs="Times New Roman"/>
          <w:sz w:val="24"/>
          <w:szCs w:val="24"/>
          <w:lang w:val="en-US"/>
        </w:rPr>
        <w:t>(Grek, 2014)</w:t>
      </w:r>
      <w:r w:rsidRPr="00875F72">
        <w:rPr>
          <w:rFonts w:cs="Times New Roman"/>
          <w:sz w:val="24"/>
          <w:szCs w:val="24"/>
        </w:rPr>
        <w:fldChar w:fldCharType="end"/>
      </w:r>
      <w:r w:rsidRPr="00875F72">
        <w:rPr>
          <w:rFonts w:cs="Times New Roman"/>
          <w:sz w:val="24"/>
          <w:szCs w:val="24"/>
          <w:lang w:val="en-US"/>
        </w:rPr>
        <w:t xml:space="preserve"> that advocates for education policy reforms worldwide. Nordic education policy research has </w:t>
      </w:r>
      <w:r w:rsidRPr="00875F72">
        <w:rPr>
          <w:rFonts w:cs="Times New Roman"/>
          <w:sz w:val="24"/>
          <w:szCs w:val="24"/>
          <w:lang w:val="en-US"/>
        </w:rPr>
        <w:lastRenderedPageBreak/>
        <w:t xml:space="preserve">explored to a great extent how national policymakers borrow or reject transnational policy elements in the national education policymaking (Sivesind; Afsar &amp; Bachmann, 2016; Mølstad &amp; Karseth, 2016; Wahlström, 2020; Nordin &amp; Sundberg, 2021, Ydesen, Kauko &amp; Ros Magnúsdóttir, 2022). </w:t>
      </w:r>
      <w:r w:rsidRPr="00875F72">
        <w:rPr>
          <w:sz w:val="24"/>
          <w:szCs w:val="24"/>
          <w:lang w:val="en-US"/>
        </w:rPr>
        <w:t>However, there is a lack of research on how the OECD constructs transnational policies through a selection of country data and research. To contribute to the research on the OECD this paper explores how the OECD utilizes comparative data and research from</w:t>
      </w:r>
      <w:r w:rsidRPr="00875F72">
        <w:rPr>
          <w:rStyle w:val="q4iawc"/>
          <w:sz w:val="24"/>
          <w:szCs w:val="24"/>
          <w:lang w:val="en"/>
        </w:rPr>
        <w:t xml:space="preserve"> the Nordic countries.</w:t>
      </w:r>
    </w:p>
    <w:p w14:paraId="75C84884" w14:textId="77777777" w:rsidR="004F1D5E" w:rsidRDefault="00875F72" w:rsidP="004F1D5E">
      <w:pPr>
        <w:spacing w:after="240" w:line="360" w:lineRule="auto"/>
        <w:ind w:firstLine="794"/>
        <w:rPr>
          <w:sz w:val="24"/>
          <w:szCs w:val="24"/>
          <w:lang w:val="en"/>
        </w:rPr>
      </w:pPr>
      <w:r w:rsidRPr="00875F72">
        <w:rPr>
          <w:sz w:val="24"/>
          <w:szCs w:val="24"/>
          <w:lang w:val="en-US"/>
        </w:rPr>
        <w:t xml:space="preserve">Network governance approaches policymaking through interactions between various actors such as people, ideas and institutions. Although governments remain central in policymaking (Theisens et al., 2016) they are constantly under pressure to interact, negotiate and mediate between a multitude of policy actors (Steiner-Khamsi, 2022). Maroy and Pons’ (2019) analysis of accountability policy explores processes of national policymaking through intertwined processes of path dependence, bricolage and interpretation. The OECD policymaking, on the other hand, is a complex process that translates comparative country data and research into transnational (and universal) policy ideas. </w:t>
      </w:r>
    </w:p>
    <w:p w14:paraId="3C867DDD" w14:textId="77777777" w:rsidR="004F1D5E" w:rsidRDefault="00875F72" w:rsidP="004F1D5E">
      <w:pPr>
        <w:spacing w:after="240" w:line="360" w:lineRule="auto"/>
        <w:ind w:firstLine="794"/>
        <w:rPr>
          <w:sz w:val="24"/>
          <w:szCs w:val="24"/>
          <w:lang w:val="en"/>
        </w:rPr>
      </w:pPr>
      <w:r w:rsidRPr="00875F72">
        <w:rPr>
          <w:sz w:val="24"/>
          <w:szCs w:val="24"/>
          <w:lang w:val="en-US"/>
        </w:rPr>
        <w:t xml:space="preserve">To explore the processes of transnational policymaking through the utilisation of comparative country data and research this paper leans on </w:t>
      </w:r>
      <w:r w:rsidRPr="00875F72">
        <w:rPr>
          <w:rFonts w:cs="Times New Roman"/>
          <w:sz w:val="24"/>
          <w:szCs w:val="24"/>
          <w:lang w:val="en-US"/>
        </w:rPr>
        <w:t xml:space="preserve">discursive institutionalism (DI) as a theoretical framework for exploring the formation, communication and translation of transnational policy ideas </w:t>
      </w:r>
      <w:r w:rsidRPr="00875F72">
        <w:rPr>
          <w:rFonts w:cs="Times New Roman"/>
          <w:sz w:val="24"/>
          <w:szCs w:val="24"/>
        </w:rPr>
        <w:fldChar w:fldCharType="begin"/>
      </w:r>
      <w:r w:rsidRPr="00875F72">
        <w:rPr>
          <w:rFonts w:cs="Times New Roman"/>
          <w:sz w:val="24"/>
          <w:szCs w:val="24"/>
          <w:lang w:val="en-US"/>
        </w:rPr>
        <w:instrText xml:space="preserve"> ADDIN ZOTERO_ITEM CSL_CITATION {"citationID":"lKtQMW3l","properties":{"formattedCitation":"(Wahlstr\\uc0\\u246{}m, 2020)","plainCitation":"(Wahlström, 2020)","noteIndex":0},"citationItems":[{"id":506,"uris":["http://zotero.org/users/7468684/items/SUXUKCNT"],"uri":["http://zotero.org/users/7468684/items/SUXUKCNT"],"itemData":{"id":506,"type":"chapter","container-title":"Oxford research encyclopedia of education","title":"Current school reforms in transnational policy landscapes","author":[{"family":"Wahlström","given":"Ninni"}],"editor":[{"family":"Pink","given":"W."}],"issued":{"date-parts":[["2020"]]}}}],"schema":"https://github.com/citation-style-language/schema/raw/master/csl-citation.json"} </w:instrText>
      </w:r>
      <w:r w:rsidRPr="00875F72">
        <w:rPr>
          <w:rFonts w:cs="Times New Roman"/>
          <w:sz w:val="24"/>
          <w:szCs w:val="24"/>
        </w:rPr>
        <w:fldChar w:fldCharType="separate"/>
      </w:r>
      <w:r w:rsidRPr="00875F72">
        <w:rPr>
          <w:rFonts w:cs="Times New Roman"/>
          <w:sz w:val="24"/>
          <w:szCs w:val="24"/>
          <w:lang w:val="en-US"/>
        </w:rPr>
        <w:t>(Wahlström, 2020)</w:t>
      </w:r>
      <w:r w:rsidRPr="00875F72">
        <w:rPr>
          <w:rFonts w:cs="Times New Roman"/>
          <w:sz w:val="24"/>
          <w:szCs w:val="24"/>
        </w:rPr>
        <w:fldChar w:fldCharType="end"/>
      </w:r>
      <w:r w:rsidRPr="00875F72">
        <w:rPr>
          <w:rFonts w:cs="Times New Roman"/>
          <w:sz w:val="24"/>
          <w:szCs w:val="24"/>
          <w:lang w:val="en-US"/>
        </w:rPr>
        <w:t xml:space="preserve">. Additionally, Actor-network theory (ANT) inspires the exploration of the OECD project </w:t>
      </w:r>
      <w:r w:rsidRPr="00875F72">
        <w:rPr>
          <w:rFonts w:cs="Times New Roman"/>
          <w:i/>
          <w:sz w:val="24"/>
          <w:szCs w:val="24"/>
          <w:lang w:val="en-US"/>
        </w:rPr>
        <w:t>Future of Education and Skills 2030</w:t>
      </w:r>
      <w:r w:rsidRPr="00875F72">
        <w:rPr>
          <w:rFonts w:cs="Times New Roman"/>
          <w:sz w:val="24"/>
          <w:szCs w:val="24"/>
          <w:lang w:val="en-US"/>
        </w:rPr>
        <w:t xml:space="preserve"> (hereafter </w:t>
      </w:r>
      <w:r w:rsidRPr="00875F72">
        <w:rPr>
          <w:rFonts w:cs="Times New Roman"/>
          <w:i/>
          <w:sz w:val="24"/>
          <w:szCs w:val="24"/>
          <w:lang w:val="en-US"/>
        </w:rPr>
        <w:t>Education 2030</w:t>
      </w:r>
      <w:r w:rsidRPr="00875F72">
        <w:rPr>
          <w:rFonts w:cs="Times New Roman"/>
          <w:sz w:val="24"/>
          <w:szCs w:val="24"/>
          <w:lang w:val="en-US"/>
        </w:rPr>
        <w:t xml:space="preserve">) as a modifying </w:t>
      </w:r>
      <w:r w:rsidR="004F1D5E" w:rsidRPr="00875F72">
        <w:rPr>
          <w:rFonts w:cs="Times New Roman"/>
          <w:sz w:val="24"/>
          <w:szCs w:val="24"/>
          <w:lang w:val="en-US"/>
        </w:rPr>
        <w:t>paperwork</w:t>
      </w:r>
      <w:r w:rsidRPr="00875F72">
        <w:rPr>
          <w:rFonts w:cs="Times New Roman"/>
          <w:sz w:val="24"/>
          <w:szCs w:val="24"/>
          <w:lang w:val="en-US"/>
        </w:rPr>
        <w:t xml:space="preserve"> (Asdal, 2015) constructing the narrative of the future curriculum and constructing a relationship between </w:t>
      </w:r>
      <w:r w:rsidRPr="00875F72">
        <w:rPr>
          <w:sz w:val="24"/>
          <w:szCs w:val="24"/>
          <w:lang w:val="en-US"/>
        </w:rPr>
        <w:t xml:space="preserve">the OECD and the Nordic countries. </w:t>
      </w:r>
    </w:p>
    <w:p w14:paraId="2AB3C9D5" w14:textId="77777777" w:rsidR="004F1D5E" w:rsidRDefault="00875F72" w:rsidP="004F1D5E">
      <w:pPr>
        <w:spacing w:after="240" w:line="360" w:lineRule="auto"/>
        <w:ind w:firstLine="794"/>
        <w:rPr>
          <w:sz w:val="24"/>
          <w:szCs w:val="24"/>
          <w:lang w:val="en"/>
        </w:rPr>
      </w:pPr>
      <w:r w:rsidRPr="00875F72">
        <w:rPr>
          <w:rFonts w:cs="Times New Roman"/>
          <w:sz w:val="24"/>
          <w:szCs w:val="24"/>
          <w:lang w:val="en-US"/>
        </w:rPr>
        <w:t xml:space="preserve">The published </w:t>
      </w:r>
      <w:r w:rsidRPr="00875F72">
        <w:rPr>
          <w:rFonts w:cs="Times New Roman"/>
          <w:i/>
          <w:sz w:val="24"/>
          <w:szCs w:val="24"/>
          <w:lang w:val="en-US"/>
        </w:rPr>
        <w:t>Education 2030</w:t>
      </w:r>
      <w:r w:rsidRPr="00875F72">
        <w:rPr>
          <w:rFonts w:cs="Times New Roman"/>
          <w:sz w:val="24"/>
          <w:szCs w:val="24"/>
          <w:lang w:val="en-US"/>
        </w:rPr>
        <w:t xml:space="preserve"> thematic reports comprise research data. First, the focus was directed toward the use of Nordic country data as examples to construct the storytelling of the future curriculum. In this part, the thematic reports were analysed to count and explore how examples from the Nordic countries are used in the storytelling. Then, a bibliometric analysis was conducted to explore how the Nordic knowledge in form of policy or academic research is utilized </w:t>
      </w:r>
      <w:r w:rsidRPr="00875F72">
        <w:rPr>
          <w:sz w:val="24"/>
          <w:szCs w:val="24"/>
          <w:lang w:val="en-US"/>
        </w:rPr>
        <w:t>as evidence legitimising the future curriculum policy.</w:t>
      </w:r>
    </w:p>
    <w:p w14:paraId="65673ADC" w14:textId="5D4B3EC4" w:rsidR="00875F72" w:rsidRPr="004F1D5E" w:rsidRDefault="00875F72" w:rsidP="004F1D5E">
      <w:pPr>
        <w:spacing w:after="240" w:line="360" w:lineRule="auto"/>
        <w:ind w:firstLine="794"/>
        <w:rPr>
          <w:sz w:val="24"/>
          <w:szCs w:val="24"/>
          <w:lang w:val="en"/>
        </w:rPr>
      </w:pPr>
      <w:r w:rsidRPr="00875F72">
        <w:rPr>
          <w:rFonts w:cs="Times New Roman"/>
          <w:sz w:val="24"/>
          <w:szCs w:val="24"/>
          <w:lang w:val="en-US"/>
        </w:rPr>
        <w:t xml:space="preserve">Preliminary results reveal that OECD employs Nordic examples to illustrate narratives about curriculum time lags and overload. Among the Nordic countries, examples </w:t>
      </w:r>
      <w:r w:rsidRPr="00875F72">
        <w:rPr>
          <w:rFonts w:cs="Times New Roman"/>
          <w:sz w:val="24"/>
          <w:szCs w:val="24"/>
          <w:lang w:val="en-US"/>
        </w:rPr>
        <w:lastRenderedPageBreak/>
        <w:t xml:space="preserve">from Finland and Norway are more frequent. Moreover, we find low frequencies of examples discussing values and attitudes. Finally our study reveals that OECD turns to   Finnish policy and academic research more frequently in modification of the narrative compared to other Nordic countries.   </w:t>
      </w:r>
    </w:p>
    <w:p w14:paraId="4449E410" w14:textId="77777777" w:rsidR="00875F72" w:rsidRPr="00875F72" w:rsidRDefault="00875F72" w:rsidP="004F1D5E">
      <w:pPr>
        <w:spacing w:after="240" w:line="360" w:lineRule="auto"/>
        <w:rPr>
          <w:rFonts w:cs="Times New Roman"/>
          <w:b/>
          <w:sz w:val="24"/>
          <w:szCs w:val="24"/>
          <w:lang w:val="en-US"/>
        </w:rPr>
      </w:pPr>
      <w:r w:rsidRPr="00875F72">
        <w:rPr>
          <w:rFonts w:cs="Times New Roman"/>
          <w:b/>
          <w:sz w:val="24"/>
          <w:szCs w:val="24"/>
          <w:lang w:val="en-US"/>
        </w:rPr>
        <w:t>References</w:t>
      </w:r>
    </w:p>
    <w:p w14:paraId="61BF00FE" w14:textId="307A50C0" w:rsidR="00875F72" w:rsidRPr="00875F72" w:rsidRDefault="00875F72" w:rsidP="004F1D5E">
      <w:pPr>
        <w:spacing w:line="360" w:lineRule="auto"/>
        <w:rPr>
          <w:sz w:val="24"/>
          <w:szCs w:val="24"/>
          <w:lang w:val="en-US"/>
        </w:rPr>
      </w:pPr>
      <w:r w:rsidRPr="00875F72">
        <w:rPr>
          <w:sz w:val="24"/>
          <w:szCs w:val="24"/>
          <w:lang w:val="en-US"/>
        </w:rPr>
        <w:t>Asdal, K. (2015). What is the issue? The transformative capacity of documents. Distinktion</w:t>
      </w:r>
      <w:r>
        <w:rPr>
          <w:sz w:val="24"/>
          <w:szCs w:val="24"/>
          <w:lang w:val="en-US"/>
        </w:rPr>
        <w:t xml:space="preserve"> </w:t>
      </w:r>
      <w:r w:rsidRPr="00875F72">
        <w:rPr>
          <w:sz w:val="24"/>
          <w:szCs w:val="24"/>
          <w:lang w:val="en-US"/>
        </w:rPr>
        <w:t>(Aarhus), 16(1), 74–90. https://doi.org/10.1080/1600910X.2015.1022194</w:t>
      </w:r>
    </w:p>
    <w:p w14:paraId="7795FF8A" w14:textId="77777777" w:rsidR="00875F72" w:rsidRPr="00875F72" w:rsidRDefault="00875F72" w:rsidP="004F1D5E">
      <w:pPr>
        <w:spacing w:line="360" w:lineRule="auto"/>
        <w:rPr>
          <w:sz w:val="24"/>
          <w:szCs w:val="24"/>
          <w:lang w:val="en-US"/>
        </w:rPr>
      </w:pPr>
      <w:r w:rsidRPr="00875F72">
        <w:rPr>
          <w:sz w:val="24"/>
          <w:szCs w:val="24"/>
          <w:lang w:val="en-US"/>
        </w:rPr>
        <w:t xml:space="preserve">Grek, S. (2014). OECD as a site of coproduction: European education governance and the new politics of ‘policy mobilization.’ Critical Policy Studies, 8(3), 266–281. </w:t>
      </w:r>
      <w:hyperlink r:id="rId9" w:history="1">
        <w:r w:rsidRPr="00875F72">
          <w:rPr>
            <w:rStyle w:val="Hyperlnk"/>
            <w:sz w:val="24"/>
            <w:szCs w:val="24"/>
            <w:lang w:val="en-US"/>
          </w:rPr>
          <w:t>https://doi.org/10.1080/19460171.2013.862503</w:t>
        </w:r>
      </w:hyperlink>
    </w:p>
    <w:p w14:paraId="50794738" w14:textId="77777777" w:rsidR="00875F72" w:rsidRPr="00875F72" w:rsidRDefault="00875F72" w:rsidP="004F1D5E">
      <w:pPr>
        <w:spacing w:line="360" w:lineRule="auto"/>
        <w:rPr>
          <w:sz w:val="24"/>
          <w:szCs w:val="24"/>
          <w:lang w:val="nb-NO"/>
        </w:rPr>
      </w:pPr>
      <w:r w:rsidRPr="00875F72">
        <w:rPr>
          <w:sz w:val="24"/>
          <w:szCs w:val="24"/>
          <w:lang w:val="en-US"/>
        </w:rPr>
        <w:t xml:space="preserve">Maroy, C., &amp; Pons, X. (2019). Accountability Policies in Education: A Comparative and Multilevel Analysis in France and Quebec (Vol. 11). </w:t>
      </w:r>
      <w:r w:rsidRPr="00875F72">
        <w:rPr>
          <w:sz w:val="24"/>
          <w:szCs w:val="24"/>
          <w:lang w:val="nb-NO"/>
        </w:rPr>
        <w:t>Cham: Springer International Publishing AG.</w:t>
      </w:r>
    </w:p>
    <w:p w14:paraId="57AE135F" w14:textId="77777777" w:rsidR="00875F72" w:rsidRPr="00875F72" w:rsidRDefault="00875F72" w:rsidP="004F1D5E">
      <w:pPr>
        <w:spacing w:line="360" w:lineRule="auto"/>
        <w:rPr>
          <w:sz w:val="24"/>
          <w:szCs w:val="24"/>
          <w:lang w:val="en-US"/>
        </w:rPr>
      </w:pPr>
      <w:r w:rsidRPr="00875F72">
        <w:rPr>
          <w:sz w:val="24"/>
          <w:szCs w:val="24"/>
          <w:lang w:val="nb-NO"/>
        </w:rPr>
        <w:t xml:space="preserve">Mølstad, C. E.&amp; Karseth, B. (2016). </w:t>
      </w:r>
      <w:r w:rsidRPr="00875F72">
        <w:rPr>
          <w:sz w:val="24"/>
          <w:szCs w:val="24"/>
          <w:lang w:val="en-US"/>
        </w:rPr>
        <w:t>National curricula in Norway and Finland: the role of learning outcomes. European Educational Research Journal 15(3), 329-344.</w:t>
      </w:r>
    </w:p>
    <w:p w14:paraId="4C2A1028" w14:textId="77777777" w:rsidR="00875F72" w:rsidRPr="00875F72" w:rsidRDefault="00875F72" w:rsidP="004F1D5E">
      <w:pPr>
        <w:spacing w:line="360" w:lineRule="auto"/>
        <w:rPr>
          <w:sz w:val="24"/>
          <w:szCs w:val="24"/>
          <w:lang w:val="en-US"/>
        </w:rPr>
      </w:pPr>
      <w:r w:rsidRPr="00875F72">
        <w:rPr>
          <w:sz w:val="24"/>
          <w:szCs w:val="24"/>
          <w:lang w:val="en-US"/>
        </w:rPr>
        <w:t>Nordin, A. Sundberg, D. (2021). T</w:t>
      </w:r>
      <w:hyperlink r:id="rId10" w:history="1">
        <w:r w:rsidRPr="00875F72">
          <w:rPr>
            <w:rStyle w:val="Hyperlnk"/>
            <w:sz w:val="24"/>
            <w:szCs w:val="24"/>
            <w:lang w:val="en-US"/>
          </w:rPr>
          <w:t>ransnational competence frameworks and national curriculum-making: the case of Sweden</w:t>
        </w:r>
      </w:hyperlink>
      <w:r w:rsidRPr="00875F72">
        <w:rPr>
          <w:sz w:val="24"/>
          <w:szCs w:val="24"/>
          <w:lang w:val="en-US"/>
        </w:rPr>
        <w:t xml:space="preserve">. Comparative Education 57 (1), 19-34. </w:t>
      </w:r>
    </w:p>
    <w:p w14:paraId="04BAB6E9" w14:textId="77777777" w:rsidR="00875F72" w:rsidRPr="00875F72" w:rsidRDefault="00875F72" w:rsidP="004F1D5E">
      <w:pPr>
        <w:spacing w:line="360" w:lineRule="auto"/>
        <w:rPr>
          <w:sz w:val="24"/>
          <w:szCs w:val="24"/>
          <w:lang w:val="en-US"/>
        </w:rPr>
      </w:pPr>
      <w:r w:rsidRPr="00875F72">
        <w:rPr>
          <w:sz w:val="24"/>
          <w:szCs w:val="24"/>
          <w:lang w:val="en-US"/>
        </w:rPr>
        <w:t>Sivesind; Afsar &amp; Bachmann, 2016. Transnational policy transfer over three curriculum reforms in Finland: the construction of conditional and purposive programs (1994-2016). European Educational Research Journal 6(3), 345-365.</w:t>
      </w:r>
    </w:p>
    <w:p w14:paraId="0A07BD19" w14:textId="77777777" w:rsidR="00875F72" w:rsidRPr="00875F72" w:rsidRDefault="00875F72" w:rsidP="004F1D5E">
      <w:pPr>
        <w:spacing w:line="360" w:lineRule="auto"/>
        <w:rPr>
          <w:sz w:val="24"/>
          <w:szCs w:val="24"/>
          <w:lang w:val="en-US"/>
        </w:rPr>
      </w:pPr>
      <w:r w:rsidRPr="00875F72">
        <w:rPr>
          <w:sz w:val="24"/>
          <w:szCs w:val="24"/>
          <w:lang w:val="en-US"/>
        </w:rPr>
        <w:t>Steiner-Khamsi, G. (2022). What Is in a Reference? Theoretically Understanding the Uses of Evidence in Education Policy. In B. Karseth, K. Sivesind, &amp; G. Steiner-Khamsi (Eds.), Evidence and Expertise in Nordic Education Policy: A Comparative Network Analysis (pp. 33–57). Springer International Publishing. https://doi.org/10.1007/978-3-030-91959-7_2</w:t>
      </w:r>
    </w:p>
    <w:p w14:paraId="65EE2140" w14:textId="77777777" w:rsidR="00875F72" w:rsidRPr="00875F72" w:rsidRDefault="00875F72" w:rsidP="004F1D5E">
      <w:pPr>
        <w:spacing w:line="360" w:lineRule="auto"/>
        <w:rPr>
          <w:sz w:val="24"/>
          <w:szCs w:val="24"/>
          <w:lang w:val="en-US"/>
        </w:rPr>
      </w:pPr>
      <w:r w:rsidRPr="00875F72">
        <w:rPr>
          <w:sz w:val="24"/>
          <w:szCs w:val="24"/>
          <w:lang w:val="en-US"/>
        </w:rPr>
        <w:t>Theisens, H., Hooge, E., &amp; Waslander, S. (2016). Steering Dynamics in Complex Education Systems: An Agenda for Empirical Research. European Journal of Education, 51(4), 463–477. https://doi.org/10.1111/ejed.12187</w:t>
      </w:r>
    </w:p>
    <w:p w14:paraId="7B7E84CA" w14:textId="77777777" w:rsidR="00875F72" w:rsidRPr="00875F72" w:rsidRDefault="00875F72" w:rsidP="004F1D5E">
      <w:pPr>
        <w:spacing w:line="360" w:lineRule="auto"/>
        <w:rPr>
          <w:sz w:val="24"/>
          <w:szCs w:val="24"/>
          <w:lang w:val="en-US"/>
        </w:rPr>
      </w:pPr>
      <w:r w:rsidRPr="00875F72">
        <w:rPr>
          <w:sz w:val="24"/>
          <w:szCs w:val="24"/>
          <w:lang w:val="en-US"/>
        </w:rPr>
        <w:lastRenderedPageBreak/>
        <w:t xml:space="preserve">Wahlstrom, N. (2020). Current school reforms in transnational policy landscapes. In W. Pink (Ed.): Oxford Research Encyclopedia of Education. New York: Oxford University Press. Online Publication Date: Mar 2020. Doi: 10.1093/acrefore/9780190264093.013.841 </w:t>
      </w:r>
    </w:p>
    <w:p w14:paraId="3FB932D8" w14:textId="77777777" w:rsidR="00875F72" w:rsidRPr="00875F72" w:rsidRDefault="00875F72" w:rsidP="004F1D5E">
      <w:pPr>
        <w:spacing w:line="360" w:lineRule="auto"/>
        <w:rPr>
          <w:sz w:val="24"/>
          <w:szCs w:val="24"/>
          <w:lang w:val="en-US"/>
        </w:rPr>
      </w:pPr>
      <w:r w:rsidRPr="00875F72">
        <w:rPr>
          <w:sz w:val="24"/>
          <w:szCs w:val="24"/>
          <w:lang w:val="en-US"/>
        </w:rPr>
        <w:t>Wahlström, N. (2020). Current school reforms in transnational policy landscapes. In W. Pink (Ed.), Oxford research encyclopedia of education.</w:t>
      </w:r>
    </w:p>
    <w:p w14:paraId="67CBB441" w14:textId="77777777" w:rsidR="00875F72" w:rsidRPr="00EE514A" w:rsidRDefault="00875F72" w:rsidP="004F1D5E">
      <w:pPr>
        <w:spacing w:line="360" w:lineRule="auto"/>
        <w:rPr>
          <w:sz w:val="24"/>
          <w:szCs w:val="24"/>
          <w:lang w:val="en-US"/>
        </w:rPr>
      </w:pPr>
      <w:r w:rsidRPr="008333A8">
        <w:rPr>
          <w:sz w:val="24"/>
          <w:szCs w:val="24"/>
        </w:rPr>
        <w:t xml:space="preserve">Ydesen,C.; Kauko, J. &amp; Ros Magnúsdóttir, B. (2022). </w:t>
      </w:r>
      <w:r w:rsidRPr="00875F72">
        <w:rPr>
          <w:sz w:val="24"/>
          <w:szCs w:val="24"/>
          <w:lang w:val="en-US"/>
        </w:rPr>
        <w:t xml:space="preserve">The OECD and the field of knowledge brokers in Danish, Finnish and Icelandic education policy. In B. Karseth.; K. Sivesind &amp; G. Steiner-Khamsi (Eds.), Evidence and expertise in Nordic education policy. </w:t>
      </w:r>
      <w:r w:rsidRPr="00EE514A">
        <w:rPr>
          <w:sz w:val="24"/>
          <w:szCs w:val="24"/>
          <w:lang w:val="en-US"/>
        </w:rPr>
        <w:t>A comparative network analysis, pp. 321-348. Palgrave Macmillan</w:t>
      </w:r>
      <w:r w:rsidR="009E55A7" w:rsidRPr="00EE514A">
        <w:rPr>
          <w:sz w:val="24"/>
          <w:szCs w:val="24"/>
          <w:lang w:val="en-US"/>
        </w:rPr>
        <w:t>.</w:t>
      </w:r>
    </w:p>
    <w:p w14:paraId="65B932AA" w14:textId="77777777" w:rsidR="009E55A7" w:rsidRPr="00EE514A" w:rsidRDefault="009E55A7" w:rsidP="004F1D5E">
      <w:pPr>
        <w:spacing w:line="360" w:lineRule="auto"/>
        <w:rPr>
          <w:sz w:val="24"/>
          <w:szCs w:val="24"/>
          <w:lang w:val="en-US"/>
        </w:rPr>
      </w:pPr>
    </w:p>
    <w:p w14:paraId="110A0D5B" w14:textId="77777777" w:rsidR="009E55A7" w:rsidRPr="00EE514A" w:rsidRDefault="009E55A7" w:rsidP="004F1D5E">
      <w:pPr>
        <w:spacing w:line="360" w:lineRule="auto"/>
        <w:rPr>
          <w:sz w:val="24"/>
          <w:szCs w:val="24"/>
          <w:lang w:val="en-US"/>
        </w:rPr>
      </w:pPr>
    </w:p>
    <w:p w14:paraId="49AF2843" w14:textId="05105125" w:rsidR="009E55A7" w:rsidRDefault="009E55A7" w:rsidP="009E55A7">
      <w:pPr>
        <w:spacing w:after="0" w:line="360" w:lineRule="auto"/>
        <w:rPr>
          <w:b/>
          <w:bCs/>
          <w:sz w:val="28"/>
          <w:szCs w:val="28"/>
          <w:lang w:val="en-US"/>
        </w:rPr>
      </w:pPr>
      <w:r w:rsidRPr="0019454C">
        <w:rPr>
          <w:b/>
          <w:bCs/>
          <w:sz w:val="28"/>
          <w:szCs w:val="28"/>
          <w:lang w:val="en-US"/>
        </w:rPr>
        <w:t xml:space="preserve">Ambivalent relations between the OECD and its Member countries </w:t>
      </w:r>
      <w:r w:rsidR="00974C5C">
        <w:rPr>
          <w:b/>
          <w:bCs/>
          <w:sz w:val="28"/>
          <w:szCs w:val="28"/>
          <w:lang w:val="en-US"/>
        </w:rPr>
        <w:t>–</w:t>
      </w:r>
      <w:r w:rsidRPr="0019454C">
        <w:rPr>
          <w:b/>
          <w:bCs/>
          <w:sz w:val="28"/>
          <w:szCs w:val="28"/>
          <w:lang w:val="en-US"/>
        </w:rPr>
        <w:t xml:space="preserve"> </w:t>
      </w:r>
      <w:r w:rsidR="00974C5C">
        <w:rPr>
          <w:b/>
          <w:bCs/>
          <w:sz w:val="28"/>
          <w:szCs w:val="28"/>
          <w:lang w:val="en-US"/>
        </w:rPr>
        <w:t>the Swedish example</w:t>
      </w:r>
    </w:p>
    <w:p w14:paraId="5FA861C3" w14:textId="075AA2F2" w:rsidR="009E55A7" w:rsidRDefault="009E55A7" w:rsidP="009E55A7">
      <w:pPr>
        <w:spacing w:after="0" w:line="360" w:lineRule="auto"/>
        <w:rPr>
          <w:i/>
          <w:iCs/>
          <w:sz w:val="24"/>
          <w:szCs w:val="24"/>
          <w:lang w:val="en-US"/>
        </w:rPr>
      </w:pPr>
      <w:r w:rsidRPr="007F5FE6">
        <w:rPr>
          <w:i/>
          <w:iCs/>
          <w:sz w:val="24"/>
          <w:szCs w:val="24"/>
          <w:lang w:val="en-US"/>
        </w:rPr>
        <w:t>Ninni Wahlström</w:t>
      </w:r>
      <w:r w:rsidR="00330470">
        <w:rPr>
          <w:i/>
          <w:iCs/>
          <w:sz w:val="24"/>
          <w:szCs w:val="24"/>
          <w:lang w:val="en-US"/>
        </w:rPr>
        <w:t xml:space="preserve"> &amp; Andreas Nordin</w:t>
      </w:r>
    </w:p>
    <w:p w14:paraId="59BB645C" w14:textId="77777777" w:rsidR="009E55A7" w:rsidRDefault="009E55A7" w:rsidP="009E55A7">
      <w:pPr>
        <w:spacing w:after="0" w:line="360" w:lineRule="auto"/>
        <w:rPr>
          <w:i/>
          <w:iCs/>
          <w:sz w:val="24"/>
          <w:szCs w:val="24"/>
          <w:lang w:val="en-US"/>
        </w:rPr>
      </w:pPr>
      <w:r w:rsidRPr="007F5FE6">
        <w:rPr>
          <w:i/>
          <w:iCs/>
          <w:sz w:val="24"/>
          <w:szCs w:val="24"/>
          <w:lang w:val="en-US"/>
        </w:rPr>
        <w:t>Linnaeus University</w:t>
      </w:r>
      <w:r>
        <w:rPr>
          <w:i/>
          <w:iCs/>
          <w:sz w:val="24"/>
          <w:szCs w:val="24"/>
          <w:lang w:val="en-US"/>
        </w:rPr>
        <w:t>, Sweden</w:t>
      </w:r>
    </w:p>
    <w:p w14:paraId="0505F431" w14:textId="77777777" w:rsidR="009E55A7" w:rsidRPr="007F5FE6" w:rsidRDefault="009E55A7" w:rsidP="009E55A7">
      <w:pPr>
        <w:spacing w:after="0" w:line="360" w:lineRule="auto"/>
        <w:rPr>
          <w:i/>
          <w:iCs/>
          <w:sz w:val="24"/>
          <w:szCs w:val="24"/>
          <w:lang w:val="en-US"/>
        </w:rPr>
      </w:pPr>
    </w:p>
    <w:p w14:paraId="5075BC50" w14:textId="3A364E1C" w:rsidR="009E55A7" w:rsidRDefault="009E55A7" w:rsidP="009E55A7">
      <w:pPr>
        <w:spacing w:after="0" w:line="360" w:lineRule="auto"/>
        <w:rPr>
          <w:rFonts w:ascii="Times New Roman" w:hAnsi="Times New Roman" w:cs="Times New Roman"/>
          <w:sz w:val="24"/>
          <w:szCs w:val="24"/>
          <w:lang w:val="en-GB"/>
        </w:rPr>
      </w:pPr>
      <w:r w:rsidRPr="00BB3956">
        <w:rPr>
          <w:sz w:val="24"/>
          <w:szCs w:val="24"/>
          <w:lang w:val="en-US"/>
        </w:rPr>
        <w:t xml:space="preserve">According to the Organisation for Economic Co-operation and Development (OECD), the role of the organization is to “work on establishing evidence-based international standards” </w:t>
      </w:r>
      <w:r>
        <w:rPr>
          <w:sz w:val="24"/>
          <w:szCs w:val="24"/>
          <w:lang w:val="en-US"/>
        </w:rPr>
        <w:t>in</w:t>
      </w:r>
      <w:r w:rsidRPr="00BB3956">
        <w:rPr>
          <w:sz w:val="24"/>
          <w:szCs w:val="24"/>
          <w:lang w:val="en-US"/>
        </w:rPr>
        <w:t xml:space="preserve"> </w:t>
      </w:r>
      <w:r>
        <w:rPr>
          <w:sz w:val="24"/>
          <w:szCs w:val="24"/>
          <w:lang w:val="en-US"/>
        </w:rPr>
        <w:t>education</w:t>
      </w:r>
      <w:r w:rsidRPr="00BB3956">
        <w:rPr>
          <w:sz w:val="24"/>
          <w:szCs w:val="24"/>
          <w:lang w:val="en-US"/>
        </w:rPr>
        <w:t xml:space="preserve"> by providing “a uniqu</w:t>
      </w:r>
      <w:r>
        <w:rPr>
          <w:sz w:val="24"/>
          <w:szCs w:val="24"/>
          <w:lang w:val="en-US"/>
        </w:rPr>
        <w:t>e</w:t>
      </w:r>
      <w:r w:rsidRPr="00BB3956">
        <w:rPr>
          <w:sz w:val="24"/>
          <w:szCs w:val="24"/>
          <w:lang w:val="en-US"/>
        </w:rPr>
        <w:t xml:space="preserve"> forum and knowledge hub for data and analysis, exchange of experiences, best-practice sharing, and advice on public policies</w:t>
      </w:r>
      <w:r>
        <w:rPr>
          <w:sz w:val="24"/>
          <w:szCs w:val="24"/>
          <w:lang w:val="en-US"/>
        </w:rPr>
        <w:t xml:space="preserve">” (OECD, 2022). </w:t>
      </w:r>
      <w:r>
        <w:rPr>
          <w:rFonts w:ascii="Times New Roman" w:hAnsi="Times New Roman" w:cs="Times New Roman"/>
          <w:sz w:val="24"/>
          <w:szCs w:val="24"/>
          <w:lang w:val="en-GB"/>
        </w:rPr>
        <w:t>T</w:t>
      </w:r>
      <w:r w:rsidRPr="004412E6">
        <w:rPr>
          <w:rFonts w:ascii="Times New Roman" w:hAnsi="Times New Roman" w:cs="Times New Roman"/>
          <w:sz w:val="24"/>
          <w:szCs w:val="24"/>
          <w:lang w:val="en-GB"/>
        </w:rPr>
        <w:t>he idea of a global knowledge economy discourse</w:t>
      </w:r>
      <w:r>
        <w:rPr>
          <w:rFonts w:ascii="Times New Roman" w:hAnsi="Times New Roman" w:cs="Times New Roman"/>
          <w:sz w:val="24"/>
          <w:szCs w:val="24"/>
          <w:lang w:val="en-GB"/>
        </w:rPr>
        <w:t xml:space="preserve"> is </w:t>
      </w:r>
      <w:r w:rsidRPr="004412E6">
        <w:rPr>
          <w:rFonts w:ascii="Times New Roman" w:hAnsi="Times New Roman" w:cs="Times New Roman"/>
          <w:sz w:val="24"/>
          <w:szCs w:val="24"/>
          <w:lang w:val="en-GB"/>
        </w:rPr>
        <w:t xml:space="preserve">based on the link between </w:t>
      </w:r>
      <w:r>
        <w:rPr>
          <w:rFonts w:ascii="Times New Roman" w:hAnsi="Times New Roman" w:cs="Times New Roman"/>
          <w:sz w:val="24"/>
          <w:szCs w:val="24"/>
          <w:lang w:val="en-GB"/>
        </w:rPr>
        <w:t>“</w:t>
      </w:r>
      <w:r w:rsidRPr="004412E6">
        <w:rPr>
          <w:rFonts w:ascii="Times New Roman" w:hAnsi="Times New Roman" w:cs="Times New Roman"/>
          <w:sz w:val="24"/>
          <w:szCs w:val="24"/>
          <w:lang w:val="en-GB"/>
        </w:rPr>
        <w:t>knowledge</w:t>
      </w:r>
      <w:r>
        <w:rPr>
          <w:rFonts w:ascii="Times New Roman" w:hAnsi="Times New Roman" w:cs="Times New Roman"/>
          <w:sz w:val="24"/>
          <w:szCs w:val="24"/>
          <w:lang w:val="en-GB"/>
        </w:rPr>
        <w:t>”</w:t>
      </w:r>
      <w:r w:rsidRPr="004412E6">
        <w:rPr>
          <w:rFonts w:ascii="Times New Roman" w:hAnsi="Times New Roman" w:cs="Times New Roman"/>
          <w:sz w:val="24"/>
          <w:szCs w:val="24"/>
          <w:lang w:val="en-GB"/>
        </w:rPr>
        <w:t xml:space="preserve"> and </w:t>
      </w:r>
      <w:r>
        <w:rPr>
          <w:rFonts w:ascii="Times New Roman" w:hAnsi="Times New Roman" w:cs="Times New Roman"/>
          <w:sz w:val="24"/>
          <w:szCs w:val="24"/>
          <w:lang w:val="en-GB"/>
        </w:rPr>
        <w:t>“</w:t>
      </w:r>
      <w:r w:rsidRPr="004412E6">
        <w:rPr>
          <w:rFonts w:ascii="Times New Roman" w:hAnsi="Times New Roman" w:cs="Times New Roman"/>
          <w:sz w:val="24"/>
          <w:szCs w:val="24"/>
          <w:lang w:val="en-GB"/>
        </w:rPr>
        <w:t>production</w:t>
      </w:r>
      <w:r>
        <w:rPr>
          <w:rFonts w:ascii="Times New Roman" w:hAnsi="Times New Roman" w:cs="Times New Roman"/>
          <w:sz w:val="24"/>
          <w:szCs w:val="24"/>
          <w:lang w:val="en-GB"/>
        </w:rPr>
        <w:t xml:space="preserve">” </w:t>
      </w:r>
      <w:r w:rsidRPr="004412E6">
        <w:rPr>
          <w:rFonts w:ascii="Times New Roman" w:hAnsi="Times New Roman" w:cs="Times New Roman"/>
          <w:sz w:val="24"/>
          <w:szCs w:val="24"/>
          <w:lang w:val="en-GB"/>
        </w:rPr>
        <w:t>(Robertson 2005).</w:t>
      </w:r>
      <w:r>
        <w:rPr>
          <w:rFonts w:ascii="Times New Roman" w:hAnsi="Times New Roman" w:cs="Times New Roman"/>
          <w:sz w:val="24"/>
          <w:szCs w:val="24"/>
          <w:lang w:val="en-GB"/>
        </w:rPr>
        <w:t xml:space="preserve"> </w:t>
      </w:r>
      <w:r w:rsidRPr="007F6C0F">
        <w:rPr>
          <w:rFonts w:ascii="Times New Roman" w:hAnsi="Times New Roman" w:cs="Times New Roman"/>
          <w:sz w:val="24"/>
          <w:szCs w:val="24"/>
          <w:lang w:val="en-GB"/>
        </w:rPr>
        <w:t>The states both participate in setting up new frameworks of international standard</w:t>
      </w:r>
      <w:r>
        <w:rPr>
          <w:rFonts w:ascii="Times New Roman" w:hAnsi="Times New Roman" w:cs="Times New Roman"/>
          <w:sz w:val="24"/>
          <w:szCs w:val="24"/>
          <w:lang w:val="en-GB"/>
        </w:rPr>
        <w:t>s</w:t>
      </w:r>
      <w:r w:rsidRPr="007F6C0F">
        <w:rPr>
          <w:rFonts w:ascii="Times New Roman" w:hAnsi="Times New Roman" w:cs="Times New Roman"/>
          <w:sz w:val="24"/>
          <w:szCs w:val="24"/>
          <w:lang w:val="en-GB"/>
        </w:rPr>
        <w:t xml:space="preserve"> and serve as places for the negotiation of transnational policies and national adaptations</w:t>
      </w:r>
      <w:r>
        <w:rPr>
          <w:rFonts w:ascii="Times New Roman" w:hAnsi="Times New Roman" w:cs="Times New Roman"/>
          <w:sz w:val="24"/>
          <w:szCs w:val="24"/>
          <w:lang w:val="en-GB"/>
        </w:rPr>
        <w:t xml:space="preserve">. </w:t>
      </w:r>
      <w:r w:rsidRPr="005D3860">
        <w:rPr>
          <w:rFonts w:ascii="Times New Roman" w:hAnsi="Times New Roman" w:cs="Times New Roman"/>
          <w:sz w:val="24"/>
          <w:szCs w:val="24"/>
          <w:lang w:val="en-GB"/>
        </w:rPr>
        <w:t xml:space="preserve">A consequence of greater demands on transnational cooperation is that the role of the state </w:t>
      </w:r>
      <w:r>
        <w:rPr>
          <w:rFonts w:ascii="Times New Roman" w:hAnsi="Times New Roman" w:cs="Times New Roman"/>
          <w:sz w:val="24"/>
          <w:szCs w:val="24"/>
          <w:lang w:val="en-GB"/>
        </w:rPr>
        <w:t>is changing (</w:t>
      </w:r>
      <w:r w:rsidRPr="004412E6">
        <w:rPr>
          <w:rFonts w:ascii="Times New Roman" w:hAnsi="Times New Roman" w:cs="Times New Roman"/>
          <w:sz w:val="24"/>
          <w:szCs w:val="24"/>
          <w:lang w:val="en-GB"/>
        </w:rPr>
        <w:t>Appadurai 1996</w:t>
      </w:r>
      <w:r>
        <w:rPr>
          <w:rFonts w:ascii="Times New Roman" w:hAnsi="Times New Roman" w:cs="Times New Roman"/>
          <w:sz w:val="24"/>
          <w:szCs w:val="24"/>
          <w:lang w:val="en-GB"/>
        </w:rPr>
        <w:t xml:space="preserve">; </w:t>
      </w:r>
      <w:r w:rsidRPr="009E7600">
        <w:rPr>
          <w:rFonts w:ascii="Times New Roman" w:hAnsi="Times New Roman" w:cs="Times New Roman"/>
          <w:sz w:val="24"/>
          <w:szCs w:val="24"/>
          <w:lang w:val="en-GB"/>
        </w:rPr>
        <w:t>Sassen 2006</w:t>
      </w:r>
      <w:r>
        <w:rPr>
          <w:rFonts w:ascii="Times New Roman" w:hAnsi="Times New Roman" w:cs="Times New Roman"/>
          <w:sz w:val="24"/>
          <w:szCs w:val="24"/>
          <w:lang w:val="en-GB"/>
        </w:rPr>
        <w:t xml:space="preserve">). </w:t>
      </w:r>
    </w:p>
    <w:p w14:paraId="4FC631F6" w14:textId="77777777" w:rsidR="009E55A7" w:rsidRDefault="009E55A7" w:rsidP="009E55A7">
      <w:pPr>
        <w:spacing w:after="0" w:line="360" w:lineRule="auto"/>
        <w:ind w:firstLine="567"/>
        <w:rPr>
          <w:rFonts w:ascii="Times New Roman" w:hAnsi="Times New Roman" w:cs="Times New Roman"/>
          <w:sz w:val="24"/>
          <w:szCs w:val="24"/>
          <w:lang w:val="en-GB"/>
        </w:rPr>
      </w:pPr>
      <w:r>
        <w:rPr>
          <w:rFonts w:ascii="Times New Roman" w:hAnsi="Times New Roman" w:cs="Times New Roman"/>
          <w:sz w:val="24"/>
          <w:szCs w:val="24"/>
          <w:lang w:val="en-GB"/>
        </w:rPr>
        <w:t>The purpose of this paper is to explore</w:t>
      </w:r>
      <w:r w:rsidRPr="00BD2967">
        <w:rPr>
          <w:rFonts w:ascii="Times New Roman" w:hAnsi="Times New Roman" w:cs="Times New Roman"/>
          <w:sz w:val="24"/>
          <w:szCs w:val="24"/>
          <w:lang w:val="en-GB"/>
        </w:rPr>
        <w:t xml:space="preserve"> the national government and the OECD as two arenas depend</w:t>
      </w:r>
      <w:r>
        <w:rPr>
          <w:rFonts w:ascii="Times New Roman" w:hAnsi="Times New Roman" w:cs="Times New Roman"/>
          <w:sz w:val="24"/>
          <w:szCs w:val="24"/>
          <w:lang w:val="en-GB"/>
        </w:rPr>
        <w:t>ing</w:t>
      </w:r>
      <w:r w:rsidRPr="00BD2967">
        <w:rPr>
          <w:rFonts w:ascii="Times New Roman" w:hAnsi="Times New Roman" w:cs="Times New Roman"/>
          <w:sz w:val="24"/>
          <w:szCs w:val="24"/>
          <w:lang w:val="en-GB"/>
        </w:rPr>
        <w:t xml:space="preserve"> on each other for their exercise of power and legitimization of education reforms</w:t>
      </w:r>
      <w:r>
        <w:rPr>
          <w:rFonts w:ascii="Times New Roman" w:hAnsi="Times New Roman" w:cs="Times New Roman"/>
          <w:sz w:val="24"/>
          <w:szCs w:val="24"/>
          <w:lang w:val="en-GB"/>
        </w:rPr>
        <w:t xml:space="preserve">. The research question </w:t>
      </w:r>
      <w:r w:rsidRPr="00C8501B">
        <w:rPr>
          <w:rFonts w:ascii="Times New Roman" w:hAnsi="Times New Roman" w:cs="Times New Roman"/>
          <w:sz w:val="24"/>
          <w:szCs w:val="24"/>
          <w:lang w:val="en-GB"/>
        </w:rPr>
        <w:t>is “</w:t>
      </w:r>
      <w:r w:rsidRPr="004D1B48">
        <w:rPr>
          <w:rFonts w:ascii="Times New Roman" w:hAnsi="Times New Roman" w:cs="Times New Roman"/>
          <w:sz w:val="24"/>
          <w:szCs w:val="24"/>
          <w:lang w:val="en-GB"/>
        </w:rPr>
        <w:t>How do the government and the political parties in Sweden use the OECD to legitimize their policy, and how does the OECD use Swedish education policy to promote its policy ideals</w:t>
      </w:r>
      <w:r w:rsidRPr="00C8501B">
        <w:rPr>
          <w:rFonts w:ascii="Times New Roman" w:hAnsi="Times New Roman" w:cs="Times New Roman"/>
          <w:sz w:val="24"/>
          <w:szCs w:val="24"/>
          <w:lang w:val="en-GB"/>
        </w:rPr>
        <w:t>”</w:t>
      </w:r>
      <w:r>
        <w:rPr>
          <w:rFonts w:ascii="Times New Roman" w:hAnsi="Times New Roman" w:cs="Times New Roman"/>
          <w:sz w:val="24"/>
          <w:szCs w:val="24"/>
          <w:lang w:val="en-GB"/>
        </w:rPr>
        <w:t>?</w:t>
      </w:r>
      <w:r w:rsidRPr="00C8501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01778F99" w14:textId="77777777" w:rsidR="009E55A7" w:rsidRDefault="009E55A7" w:rsidP="009E55A7">
      <w:pPr>
        <w:spacing w:line="360" w:lineRule="auto"/>
        <w:ind w:firstLine="567"/>
        <w:rPr>
          <w:sz w:val="24"/>
          <w:szCs w:val="24"/>
          <w:lang w:val="en-US"/>
        </w:rPr>
      </w:pPr>
      <w:bookmarkStart w:id="1" w:name="_Hlk87957660"/>
      <w:r>
        <w:rPr>
          <w:rStyle w:val="jlqj4b"/>
          <w:sz w:val="24"/>
          <w:szCs w:val="24"/>
          <w:lang w:val="en"/>
        </w:rPr>
        <w:lastRenderedPageBreak/>
        <w:t xml:space="preserve">The </w:t>
      </w:r>
      <w:r w:rsidRPr="005D5D6E">
        <w:rPr>
          <w:rStyle w:val="jlqj4b"/>
          <w:sz w:val="24"/>
          <w:szCs w:val="24"/>
          <w:lang w:val="en"/>
        </w:rPr>
        <w:t>study draws on discursive institutionalism for a theoretical conceptualization (Schmidt, 2008, 2012; Carstensen &amp; Schmidt, 2016)</w:t>
      </w:r>
      <w:r>
        <w:rPr>
          <w:rStyle w:val="jlqj4b"/>
          <w:sz w:val="24"/>
          <w:szCs w:val="24"/>
          <w:lang w:val="en"/>
        </w:rPr>
        <w:t xml:space="preserve">. </w:t>
      </w:r>
      <w:r w:rsidRPr="005240A6">
        <w:rPr>
          <w:rStyle w:val="jlqj4b"/>
          <w:sz w:val="24"/>
          <w:szCs w:val="24"/>
          <w:lang w:val="en"/>
        </w:rPr>
        <w:t>From this theoretical perspective, ideas, discourses, and human agency are central for understanding how social institutions both can be maintained and change.</w:t>
      </w:r>
      <w:bookmarkStart w:id="2" w:name="_Hlk87957753"/>
      <w:bookmarkEnd w:id="1"/>
      <w:r>
        <w:rPr>
          <w:rStyle w:val="jlqj4b"/>
          <w:sz w:val="24"/>
          <w:szCs w:val="24"/>
          <w:lang w:val="en"/>
        </w:rPr>
        <w:t xml:space="preserve"> </w:t>
      </w:r>
      <w:r>
        <w:rPr>
          <w:sz w:val="24"/>
          <w:szCs w:val="24"/>
          <w:lang w:val="en-US"/>
        </w:rPr>
        <w:t>I</w:t>
      </w:r>
      <w:r w:rsidRPr="007D6B6D">
        <w:rPr>
          <w:sz w:val="24"/>
          <w:szCs w:val="24"/>
          <w:lang w:val="en-US"/>
        </w:rPr>
        <w:t xml:space="preserve">deas are represented </w:t>
      </w:r>
      <w:r>
        <w:rPr>
          <w:sz w:val="24"/>
          <w:szCs w:val="24"/>
          <w:lang w:val="en-US"/>
        </w:rPr>
        <w:t>through</w:t>
      </w:r>
      <w:r w:rsidRPr="007D6B6D">
        <w:rPr>
          <w:sz w:val="24"/>
          <w:szCs w:val="24"/>
          <w:lang w:val="en-US"/>
        </w:rPr>
        <w:t xml:space="preserve"> discourse</w:t>
      </w:r>
      <w:r>
        <w:rPr>
          <w:sz w:val="24"/>
          <w:szCs w:val="24"/>
          <w:lang w:val="en-US"/>
        </w:rPr>
        <w:t xml:space="preserve"> that is</w:t>
      </w:r>
      <w:r w:rsidRPr="007D6B6D">
        <w:rPr>
          <w:sz w:val="24"/>
          <w:szCs w:val="24"/>
          <w:lang w:val="en-US"/>
        </w:rPr>
        <w:t xml:space="preserve"> the interactive process by which ideas are processed, changed, and conveyed. </w:t>
      </w:r>
      <w:bookmarkStart w:id="3" w:name="_Hlk88070265"/>
      <w:r w:rsidRPr="007D6B6D">
        <w:rPr>
          <w:sz w:val="24"/>
          <w:szCs w:val="24"/>
          <w:lang w:val="en-US"/>
        </w:rPr>
        <w:t>Discourse is</w:t>
      </w:r>
      <w:r>
        <w:rPr>
          <w:sz w:val="24"/>
          <w:szCs w:val="24"/>
          <w:lang w:val="en-US"/>
        </w:rPr>
        <w:t xml:space="preserve"> </w:t>
      </w:r>
      <w:r w:rsidRPr="007D6B6D">
        <w:rPr>
          <w:sz w:val="24"/>
          <w:szCs w:val="24"/>
          <w:lang w:val="en-US"/>
        </w:rPr>
        <w:t>understood as institutionalized structures of meaning</w:t>
      </w:r>
      <w:r>
        <w:rPr>
          <w:sz w:val="24"/>
          <w:szCs w:val="24"/>
          <w:lang w:val="en-US"/>
        </w:rPr>
        <w:t xml:space="preserve"> that</w:t>
      </w:r>
      <w:r w:rsidRPr="007D6B6D">
        <w:rPr>
          <w:sz w:val="24"/>
          <w:szCs w:val="24"/>
          <w:lang w:val="en-US"/>
        </w:rPr>
        <w:t xml:space="preserve"> influenc</w:t>
      </w:r>
      <w:r>
        <w:rPr>
          <w:sz w:val="24"/>
          <w:szCs w:val="24"/>
          <w:lang w:val="en-US"/>
        </w:rPr>
        <w:t>e</w:t>
      </w:r>
      <w:r w:rsidRPr="007D6B6D">
        <w:rPr>
          <w:sz w:val="24"/>
          <w:szCs w:val="24"/>
          <w:lang w:val="en-US"/>
        </w:rPr>
        <w:t xml:space="preserve"> what ideas are represented </w:t>
      </w:r>
      <w:r>
        <w:rPr>
          <w:sz w:val="24"/>
          <w:szCs w:val="24"/>
          <w:lang w:val="en-US"/>
        </w:rPr>
        <w:t>and</w:t>
      </w:r>
      <w:r w:rsidRPr="007D6B6D">
        <w:rPr>
          <w:sz w:val="24"/>
          <w:szCs w:val="24"/>
          <w:lang w:val="en-US"/>
        </w:rPr>
        <w:t xml:space="preserve"> how arguments are made. Discourses constrain what is possible to talk about</w:t>
      </w:r>
      <w:r>
        <w:rPr>
          <w:sz w:val="24"/>
          <w:szCs w:val="24"/>
          <w:lang w:val="en-US"/>
        </w:rPr>
        <w:t>,</w:t>
      </w:r>
      <w:r w:rsidRPr="007D6B6D">
        <w:rPr>
          <w:sz w:val="24"/>
          <w:szCs w:val="24"/>
          <w:lang w:val="en-US"/>
        </w:rPr>
        <w:t xml:space="preserve"> because </w:t>
      </w:r>
      <w:r>
        <w:rPr>
          <w:sz w:val="24"/>
          <w:szCs w:val="24"/>
          <w:lang w:val="en-US"/>
        </w:rPr>
        <w:t>they are often</w:t>
      </w:r>
      <w:r w:rsidRPr="007D6B6D">
        <w:rPr>
          <w:sz w:val="24"/>
          <w:szCs w:val="24"/>
          <w:lang w:val="en-US"/>
        </w:rPr>
        <w:t xml:space="preserve"> portrayed as an inescapable reality, as a desired norm, or what is thought of as being in line with </w:t>
      </w:r>
      <w:r>
        <w:rPr>
          <w:sz w:val="24"/>
          <w:szCs w:val="24"/>
          <w:lang w:val="en-US"/>
        </w:rPr>
        <w:t>the will of the people</w:t>
      </w:r>
      <w:r w:rsidRPr="007D6B6D">
        <w:rPr>
          <w:sz w:val="24"/>
          <w:szCs w:val="24"/>
          <w:lang w:val="en-US"/>
        </w:rPr>
        <w:t>.</w:t>
      </w:r>
      <w:bookmarkEnd w:id="2"/>
      <w:bookmarkEnd w:id="3"/>
      <w:r w:rsidRPr="007D6B6D">
        <w:rPr>
          <w:sz w:val="24"/>
          <w:szCs w:val="24"/>
          <w:lang w:val="en-US"/>
        </w:rPr>
        <w:t xml:space="preserve"> In the policy sphere</w:t>
      </w:r>
      <w:r>
        <w:rPr>
          <w:sz w:val="24"/>
          <w:szCs w:val="24"/>
          <w:lang w:val="en-US"/>
        </w:rPr>
        <w:t>,</w:t>
      </w:r>
      <w:r w:rsidRPr="007D6B6D">
        <w:rPr>
          <w:sz w:val="24"/>
          <w:szCs w:val="24"/>
          <w:lang w:val="en-US"/>
        </w:rPr>
        <w:t xml:space="preserve"> where different policy ideas are discussed, policy actors are engaged in coordinative discourses to create, elaborate</w:t>
      </w:r>
      <w:r>
        <w:rPr>
          <w:sz w:val="24"/>
          <w:szCs w:val="24"/>
          <w:lang w:val="en-US"/>
        </w:rPr>
        <w:t>,</w:t>
      </w:r>
      <w:r w:rsidRPr="007D6B6D">
        <w:rPr>
          <w:sz w:val="24"/>
          <w:szCs w:val="24"/>
          <w:lang w:val="en-US"/>
        </w:rPr>
        <w:t xml:space="preserve"> and justify certain societal and programmatic policy ideas. The communicative discourse </w:t>
      </w:r>
      <w:r>
        <w:rPr>
          <w:sz w:val="24"/>
          <w:szCs w:val="24"/>
          <w:lang w:val="en-US"/>
        </w:rPr>
        <w:t xml:space="preserve">usually </w:t>
      </w:r>
      <w:r w:rsidRPr="007D6B6D">
        <w:rPr>
          <w:sz w:val="24"/>
          <w:szCs w:val="24"/>
          <w:lang w:val="en-US"/>
        </w:rPr>
        <w:t>occurs in the political sphere</w:t>
      </w:r>
      <w:r>
        <w:rPr>
          <w:sz w:val="24"/>
          <w:szCs w:val="24"/>
          <w:lang w:val="en-US"/>
        </w:rPr>
        <w:t>,</w:t>
      </w:r>
      <w:r w:rsidRPr="007D6B6D">
        <w:rPr>
          <w:sz w:val="24"/>
          <w:szCs w:val="24"/>
          <w:lang w:val="en-US"/>
        </w:rPr>
        <w:t xml:space="preserve"> whe</w:t>
      </w:r>
      <w:r>
        <w:rPr>
          <w:sz w:val="24"/>
          <w:szCs w:val="24"/>
          <w:lang w:val="en-US"/>
        </w:rPr>
        <w:t>rein</w:t>
      </w:r>
      <w:r w:rsidRPr="007D6B6D">
        <w:rPr>
          <w:sz w:val="24"/>
          <w:szCs w:val="24"/>
          <w:lang w:val="en-US"/>
        </w:rPr>
        <w:t xml:space="preserve"> politicians communicate the policy ideas and programs developed in the coordinative discourses to the public for persuasion and discussion (Schmidt, 2008). </w:t>
      </w:r>
    </w:p>
    <w:p w14:paraId="62CCA344" w14:textId="77777777" w:rsidR="009E55A7" w:rsidRPr="00557405" w:rsidRDefault="009E55A7" w:rsidP="009E55A7">
      <w:pPr>
        <w:spacing w:line="360" w:lineRule="auto"/>
        <w:ind w:firstLine="567"/>
        <w:rPr>
          <w:sz w:val="24"/>
          <w:szCs w:val="24"/>
          <w:lang w:val="en-US"/>
        </w:rPr>
      </w:pPr>
      <w:r w:rsidRPr="003F09E1">
        <w:rPr>
          <w:sz w:val="24"/>
          <w:szCs w:val="24"/>
          <w:lang w:val="en-US"/>
        </w:rPr>
        <w:t xml:space="preserve">The data consists of Swedish policy documents and reports from the OECD between the years </w:t>
      </w:r>
      <w:r>
        <w:rPr>
          <w:sz w:val="24"/>
          <w:szCs w:val="24"/>
          <w:lang w:val="en-US"/>
        </w:rPr>
        <w:t>from</w:t>
      </w:r>
      <w:r w:rsidRPr="003F09E1">
        <w:rPr>
          <w:sz w:val="24"/>
          <w:szCs w:val="24"/>
          <w:lang w:val="en-US"/>
        </w:rPr>
        <w:t xml:space="preserve"> 2014 </w:t>
      </w:r>
      <w:r>
        <w:rPr>
          <w:sz w:val="24"/>
          <w:szCs w:val="24"/>
          <w:lang w:val="en-US"/>
        </w:rPr>
        <w:t>to</w:t>
      </w:r>
      <w:r w:rsidRPr="003F09E1">
        <w:rPr>
          <w:sz w:val="24"/>
          <w:szCs w:val="24"/>
          <w:lang w:val="en-US"/>
        </w:rPr>
        <w:t xml:space="preserve"> 2021. The </w:t>
      </w:r>
      <w:r>
        <w:rPr>
          <w:sz w:val="24"/>
          <w:szCs w:val="24"/>
          <w:lang w:val="en-US"/>
        </w:rPr>
        <w:t>analytical approach to the policy texts is</w:t>
      </w:r>
      <w:r w:rsidRPr="003F09E1">
        <w:rPr>
          <w:sz w:val="24"/>
          <w:szCs w:val="24"/>
          <w:lang w:val="en-US"/>
        </w:rPr>
        <w:t xml:space="preserve"> critical discourse analysis </w:t>
      </w:r>
      <w:r>
        <w:rPr>
          <w:sz w:val="24"/>
          <w:szCs w:val="24"/>
          <w:lang w:val="en-US"/>
        </w:rPr>
        <w:t>(</w:t>
      </w:r>
      <w:r w:rsidRPr="003F09E1">
        <w:rPr>
          <w:sz w:val="24"/>
          <w:szCs w:val="24"/>
          <w:lang w:val="en-US"/>
        </w:rPr>
        <w:t>Fairclough, 2010)</w:t>
      </w:r>
      <w:r>
        <w:rPr>
          <w:sz w:val="24"/>
          <w:szCs w:val="24"/>
          <w:lang w:val="en-US"/>
        </w:rPr>
        <w:t xml:space="preserve">. </w:t>
      </w:r>
      <w:r w:rsidRPr="002979C4">
        <w:rPr>
          <w:sz w:val="24"/>
          <w:szCs w:val="24"/>
          <w:lang w:val="en-US"/>
        </w:rPr>
        <w:t>Critical discourse analysis distinguishes between three steps in the analysis</w:t>
      </w:r>
      <w:r>
        <w:rPr>
          <w:sz w:val="24"/>
          <w:szCs w:val="24"/>
          <w:lang w:val="en-US"/>
        </w:rPr>
        <w:t xml:space="preserve">: the </w:t>
      </w:r>
      <w:r w:rsidRPr="002979C4">
        <w:rPr>
          <w:sz w:val="24"/>
          <w:szCs w:val="24"/>
          <w:lang w:val="en-US"/>
        </w:rPr>
        <w:t>descriptive, interpretive and explanatory phase</w:t>
      </w:r>
      <w:r>
        <w:rPr>
          <w:sz w:val="24"/>
          <w:szCs w:val="24"/>
          <w:lang w:val="en-US"/>
        </w:rPr>
        <w:t xml:space="preserve">s </w:t>
      </w:r>
      <w:r>
        <w:rPr>
          <w:rStyle w:val="q4iawc"/>
          <w:sz w:val="24"/>
          <w:szCs w:val="24"/>
          <w:lang w:val="en"/>
        </w:rPr>
        <w:t>(Fairclough, 2001). The result shows that the national politicians are dependent on the OECD for the legitimization of their policy</w:t>
      </w:r>
      <w:r w:rsidRPr="00557405">
        <w:rPr>
          <w:rStyle w:val="q4iawc"/>
          <w:sz w:val="24"/>
          <w:szCs w:val="24"/>
          <w:lang w:val="en"/>
        </w:rPr>
        <w:t xml:space="preserve">. </w:t>
      </w:r>
      <w:r w:rsidRPr="005B3643">
        <w:rPr>
          <w:rStyle w:val="q4iawc"/>
          <w:sz w:val="24"/>
          <w:szCs w:val="24"/>
          <w:lang w:val="en"/>
        </w:rPr>
        <w:t>A paradoxical result is that the same parties that emphasizes the OECD as a world-leading and neutral educational expert when being in government, a few years later argues that the OECD is partisan and ignorant in when being in opposition.</w:t>
      </w:r>
      <w:r>
        <w:rPr>
          <w:rStyle w:val="q4iawc"/>
          <w:sz w:val="24"/>
          <w:szCs w:val="24"/>
          <w:lang w:val="en"/>
        </w:rPr>
        <w:t xml:space="preserve"> </w:t>
      </w:r>
      <w:r w:rsidRPr="009752EB">
        <w:rPr>
          <w:rStyle w:val="q4iawc"/>
          <w:sz w:val="24"/>
          <w:szCs w:val="24"/>
          <w:lang w:val="en"/>
        </w:rPr>
        <w:t>The OECD, on their side, proposes a central governing of the school system in line with its ambition to influence the outcome of the national education system.</w:t>
      </w:r>
      <w:r>
        <w:rPr>
          <w:rStyle w:val="q4iawc"/>
          <w:sz w:val="24"/>
          <w:szCs w:val="24"/>
          <w:lang w:val="en"/>
        </w:rPr>
        <w:t xml:space="preserve">  </w:t>
      </w:r>
    </w:p>
    <w:p w14:paraId="5FA05ADE" w14:textId="77777777" w:rsidR="009E55A7" w:rsidRDefault="009E55A7" w:rsidP="009E55A7">
      <w:pPr>
        <w:spacing w:line="360" w:lineRule="auto"/>
        <w:rPr>
          <w:sz w:val="24"/>
          <w:szCs w:val="24"/>
          <w:lang w:val="en-US"/>
        </w:rPr>
      </w:pPr>
    </w:p>
    <w:p w14:paraId="25CAE2EC" w14:textId="77777777" w:rsidR="009E55A7" w:rsidRPr="008A319E" w:rsidRDefault="009E55A7" w:rsidP="009E55A7">
      <w:pPr>
        <w:spacing w:line="360" w:lineRule="auto"/>
        <w:rPr>
          <w:b/>
          <w:bCs/>
          <w:sz w:val="24"/>
          <w:szCs w:val="24"/>
          <w:lang w:val="en-US"/>
        </w:rPr>
      </w:pPr>
      <w:r w:rsidRPr="008A319E">
        <w:rPr>
          <w:b/>
          <w:bCs/>
          <w:sz w:val="24"/>
          <w:szCs w:val="24"/>
          <w:lang w:val="en-US"/>
        </w:rPr>
        <w:t>References</w:t>
      </w:r>
    </w:p>
    <w:p w14:paraId="73703D44" w14:textId="77777777" w:rsidR="009E55A7" w:rsidRDefault="009E55A7" w:rsidP="009E55A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Appadurai, A. (1996). </w:t>
      </w:r>
      <w:r>
        <w:rPr>
          <w:rFonts w:ascii="Times New Roman" w:hAnsi="Times New Roman" w:cs="Times New Roman"/>
          <w:i/>
          <w:sz w:val="24"/>
          <w:szCs w:val="24"/>
          <w:lang w:val="en-US"/>
        </w:rPr>
        <w:t xml:space="preserve">Modernity atlLarge. Cultural dimensions of globalization. </w:t>
      </w:r>
      <w:r>
        <w:rPr>
          <w:rFonts w:ascii="Times New Roman" w:hAnsi="Times New Roman" w:cs="Times New Roman"/>
          <w:sz w:val="24"/>
          <w:szCs w:val="24"/>
          <w:lang w:val="en-US"/>
        </w:rPr>
        <w:t>University of Minnesota Press.</w:t>
      </w:r>
    </w:p>
    <w:p w14:paraId="33EB491F" w14:textId="77777777" w:rsidR="009E55A7" w:rsidRDefault="009E55A7" w:rsidP="009E55A7">
      <w:pPr>
        <w:autoSpaceDE w:val="0"/>
        <w:autoSpaceDN w:val="0"/>
        <w:adjustRightInd w:val="0"/>
        <w:spacing w:after="0"/>
        <w:rPr>
          <w:rFonts w:ascii="Times New Roman" w:hAnsi="Times New Roman" w:cs="Times New Roman"/>
          <w:sz w:val="24"/>
          <w:szCs w:val="24"/>
          <w:lang w:val="en-US"/>
        </w:rPr>
      </w:pPr>
    </w:p>
    <w:p w14:paraId="646107FF" w14:textId="77777777" w:rsidR="009E55A7" w:rsidRPr="00046965" w:rsidRDefault="009E55A7" w:rsidP="009E55A7">
      <w:pPr>
        <w:spacing w:line="240" w:lineRule="auto"/>
        <w:rPr>
          <w:sz w:val="24"/>
          <w:szCs w:val="24"/>
          <w:lang w:val="en-US"/>
        </w:rPr>
      </w:pPr>
      <w:r w:rsidRPr="00C3649E">
        <w:rPr>
          <w:sz w:val="24"/>
          <w:szCs w:val="24"/>
        </w:rPr>
        <w:t xml:space="preserve">Carstensen, M. B. &amp; Schmidt, V. A. (2016). </w:t>
      </w:r>
      <w:r w:rsidRPr="00C3649E">
        <w:rPr>
          <w:sz w:val="24"/>
          <w:szCs w:val="24"/>
          <w:lang w:val="en-US"/>
        </w:rPr>
        <w:t>Power through, over and in ideas:</w:t>
      </w:r>
      <w:r>
        <w:rPr>
          <w:sz w:val="24"/>
          <w:szCs w:val="24"/>
          <w:lang w:val="en-US"/>
        </w:rPr>
        <w:t xml:space="preserve"> </w:t>
      </w:r>
      <w:r w:rsidRPr="009772A6">
        <w:rPr>
          <w:sz w:val="24"/>
          <w:szCs w:val="24"/>
          <w:lang w:val="en-US"/>
        </w:rPr>
        <w:t xml:space="preserve">Conceptualizing ideational power in discursive institutionalism. </w:t>
      </w:r>
      <w:r w:rsidRPr="00046965">
        <w:rPr>
          <w:i/>
          <w:iCs/>
          <w:sz w:val="24"/>
          <w:szCs w:val="24"/>
          <w:lang w:val="en-US"/>
        </w:rPr>
        <w:t>Journal of European Public Policy, 23</w:t>
      </w:r>
      <w:r w:rsidRPr="00046965">
        <w:rPr>
          <w:sz w:val="24"/>
          <w:szCs w:val="24"/>
          <w:lang w:val="en-US"/>
        </w:rPr>
        <w:t>(3), 318</w:t>
      </w:r>
      <w:r w:rsidRPr="00046965">
        <w:rPr>
          <w:rFonts w:ascii="Times New Roman" w:hAnsi="Times New Roman" w:cstheme="majorHAnsi"/>
          <w:sz w:val="24"/>
          <w:szCs w:val="24"/>
          <w:lang w:val="en-US"/>
        </w:rPr>
        <w:t>–</w:t>
      </w:r>
      <w:r w:rsidRPr="00046965">
        <w:rPr>
          <w:sz w:val="24"/>
          <w:szCs w:val="24"/>
          <w:lang w:val="en-US"/>
        </w:rPr>
        <w:t>337.</w:t>
      </w:r>
    </w:p>
    <w:p w14:paraId="797CA464" w14:textId="77777777" w:rsidR="009E55A7" w:rsidRPr="009772A6" w:rsidRDefault="009E55A7" w:rsidP="009E55A7">
      <w:pPr>
        <w:spacing w:after="0" w:line="480" w:lineRule="auto"/>
        <w:ind w:left="709" w:hanging="720"/>
        <w:rPr>
          <w:rFonts w:ascii="Times New Roman" w:hAnsi="Times New Roman" w:cstheme="majorHAnsi"/>
          <w:sz w:val="24"/>
          <w:szCs w:val="24"/>
          <w:lang w:val="en-US"/>
        </w:rPr>
      </w:pPr>
      <w:r w:rsidRPr="009772A6">
        <w:rPr>
          <w:rFonts w:ascii="Times New Roman" w:hAnsi="Times New Roman" w:cstheme="majorHAnsi"/>
          <w:sz w:val="24"/>
          <w:szCs w:val="24"/>
          <w:lang w:val="en-US"/>
        </w:rPr>
        <w:t xml:space="preserve">Fairclough, N. (2001). </w:t>
      </w:r>
      <w:r w:rsidRPr="009772A6">
        <w:rPr>
          <w:rFonts w:ascii="Times New Roman" w:hAnsi="Times New Roman" w:cstheme="majorHAnsi"/>
          <w:i/>
          <w:sz w:val="24"/>
          <w:szCs w:val="24"/>
          <w:lang w:val="en-US"/>
        </w:rPr>
        <w:t>Language and Power</w:t>
      </w:r>
      <w:r>
        <w:rPr>
          <w:rFonts w:ascii="Times New Roman" w:hAnsi="Times New Roman" w:cstheme="majorHAnsi"/>
          <w:i/>
          <w:sz w:val="24"/>
          <w:szCs w:val="24"/>
          <w:lang w:val="en-US"/>
        </w:rPr>
        <w:t xml:space="preserve">. </w:t>
      </w:r>
      <w:r w:rsidRPr="009772A6">
        <w:rPr>
          <w:rFonts w:ascii="Times New Roman" w:hAnsi="Times New Roman" w:cstheme="majorHAnsi"/>
          <w:sz w:val="24"/>
          <w:szCs w:val="24"/>
          <w:lang w:val="en-US"/>
        </w:rPr>
        <w:t>Pearson.</w:t>
      </w:r>
    </w:p>
    <w:p w14:paraId="3DBB799A" w14:textId="77777777" w:rsidR="009E55A7" w:rsidRPr="00F16B2B" w:rsidRDefault="009E55A7" w:rsidP="009E55A7">
      <w:pPr>
        <w:spacing w:after="0" w:line="240" w:lineRule="auto"/>
        <w:rPr>
          <w:rFonts w:ascii="Times New Roman" w:hAnsi="Times New Roman" w:cstheme="majorHAnsi"/>
          <w:sz w:val="24"/>
          <w:szCs w:val="24"/>
          <w:lang w:val="en-US"/>
        </w:rPr>
      </w:pPr>
      <w:r w:rsidRPr="009772A6">
        <w:rPr>
          <w:rFonts w:ascii="Times New Roman" w:hAnsi="Times New Roman" w:cstheme="majorHAnsi"/>
          <w:sz w:val="24"/>
          <w:szCs w:val="24"/>
          <w:lang w:val="en-US"/>
        </w:rPr>
        <w:lastRenderedPageBreak/>
        <w:t xml:space="preserve">Fairclough, N. (2010). </w:t>
      </w:r>
      <w:r w:rsidRPr="009772A6">
        <w:rPr>
          <w:rFonts w:ascii="Times New Roman" w:hAnsi="Times New Roman" w:cstheme="majorHAnsi"/>
          <w:i/>
          <w:sz w:val="24"/>
          <w:szCs w:val="24"/>
          <w:lang w:val="en-US"/>
        </w:rPr>
        <w:t>Critical discourse analysis: The critical study of language</w:t>
      </w:r>
      <w:r>
        <w:rPr>
          <w:rFonts w:ascii="Times New Roman" w:hAnsi="Times New Roman" w:cstheme="majorHAnsi"/>
          <w:iCs/>
          <w:sz w:val="24"/>
          <w:szCs w:val="24"/>
          <w:lang w:val="en-US"/>
        </w:rPr>
        <w:t xml:space="preserve">. </w:t>
      </w:r>
      <w:r w:rsidRPr="00F16B2B">
        <w:rPr>
          <w:rFonts w:ascii="Times New Roman" w:hAnsi="Times New Roman" w:cstheme="majorHAnsi"/>
          <w:sz w:val="24"/>
          <w:szCs w:val="24"/>
          <w:lang w:val="en-US"/>
        </w:rPr>
        <w:t>Pearson.</w:t>
      </w:r>
    </w:p>
    <w:p w14:paraId="5C34EABA" w14:textId="77777777" w:rsidR="009E55A7" w:rsidRPr="0006759D" w:rsidRDefault="009E55A7" w:rsidP="009E55A7">
      <w:pPr>
        <w:autoSpaceDE w:val="0"/>
        <w:autoSpaceDN w:val="0"/>
        <w:adjustRightInd w:val="0"/>
        <w:spacing w:after="0"/>
        <w:rPr>
          <w:rFonts w:ascii="Times New Roman" w:hAnsi="Times New Roman" w:cs="Times New Roman"/>
          <w:sz w:val="24"/>
          <w:szCs w:val="24"/>
          <w:lang w:val="en-US"/>
        </w:rPr>
      </w:pPr>
    </w:p>
    <w:p w14:paraId="751DBCFB" w14:textId="77777777" w:rsidR="009E55A7" w:rsidRDefault="009E55A7" w:rsidP="009E55A7">
      <w:pPr>
        <w:autoSpaceDE w:val="0"/>
        <w:autoSpaceDN w:val="0"/>
        <w:adjustRightInd w:val="0"/>
        <w:spacing w:after="0"/>
        <w:rPr>
          <w:rFonts w:ascii="Times New Roman" w:hAnsi="Times New Roman" w:cs="Times New Roman"/>
          <w:i/>
          <w:sz w:val="24"/>
          <w:szCs w:val="24"/>
          <w:lang w:val="en-US"/>
        </w:rPr>
      </w:pPr>
      <w:r>
        <w:rPr>
          <w:rFonts w:ascii="Times New Roman" w:hAnsi="Times New Roman" w:cs="Times New Roman"/>
          <w:sz w:val="24"/>
          <w:szCs w:val="24"/>
          <w:lang w:val="en-US"/>
        </w:rPr>
        <w:t xml:space="preserve">Robertson, S. L. (2005). Re-imagining and rescripting the future of education: global knowledge economy discourses and the challenge to education systems. </w:t>
      </w:r>
      <w:r>
        <w:rPr>
          <w:rFonts w:ascii="Times New Roman" w:hAnsi="Times New Roman" w:cs="Times New Roman"/>
          <w:i/>
          <w:sz w:val="24"/>
          <w:szCs w:val="24"/>
          <w:lang w:val="en-US"/>
        </w:rPr>
        <w:t>Comparative Education 41</w:t>
      </w:r>
      <w:r>
        <w:rPr>
          <w:rFonts w:ascii="Times New Roman" w:hAnsi="Times New Roman" w:cs="Times New Roman"/>
          <w:sz w:val="24"/>
          <w:szCs w:val="24"/>
          <w:lang w:val="en-US"/>
        </w:rPr>
        <w:t>(2), 151-170.</w:t>
      </w:r>
      <w:r>
        <w:rPr>
          <w:rFonts w:ascii="Times New Roman" w:hAnsi="Times New Roman" w:cs="Times New Roman"/>
          <w:i/>
          <w:sz w:val="24"/>
          <w:szCs w:val="24"/>
          <w:lang w:val="en-US"/>
        </w:rPr>
        <w:t xml:space="preserve"> </w:t>
      </w:r>
    </w:p>
    <w:p w14:paraId="10E7DA1B" w14:textId="77777777" w:rsidR="009E55A7" w:rsidRDefault="009E55A7" w:rsidP="009E55A7">
      <w:pPr>
        <w:autoSpaceDE w:val="0"/>
        <w:autoSpaceDN w:val="0"/>
        <w:adjustRightInd w:val="0"/>
        <w:spacing w:after="0"/>
        <w:rPr>
          <w:rFonts w:ascii="Times New Roman" w:hAnsi="Times New Roman" w:cs="Times New Roman"/>
          <w:sz w:val="24"/>
          <w:szCs w:val="24"/>
          <w:lang w:val="en-US"/>
        </w:rPr>
      </w:pPr>
    </w:p>
    <w:p w14:paraId="29A6E719" w14:textId="77777777" w:rsidR="009E55A7" w:rsidRDefault="009E55A7" w:rsidP="009E55A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Sassen, S. (2006). </w:t>
      </w:r>
      <w:r>
        <w:rPr>
          <w:rFonts w:ascii="Times New Roman" w:hAnsi="Times New Roman" w:cs="Times New Roman"/>
          <w:i/>
          <w:sz w:val="24"/>
          <w:szCs w:val="24"/>
          <w:lang w:val="en-US"/>
        </w:rPr>
        <w:t xml:space="preserve">Territory. Authority. Rights. From medieval to global assemblages. </w:t>
      </w:r>
      <w:r>
        <w:rPr>
          <w:rFonts w:ascii="Times New Roman" w:hAnsi="Times New Roman" w:cs="Times New Roman"/>
          <w:sz w:val="24"/>
          <w:szCs w:val="24"/>
          <w:lang w:val="en-US"/>
        </w:rPr>
        <w:t xml:space="preserve">Princeton University Press.  </w:t>
      </w:r>
    </w:p>
    <w:p w14:paraId="02FC60C9" w14:textId="77777777" w:rsidR="009E55A7" w:rsidRPr="00283055" w:rsidRDefault="009E55A7" w:rsidP="009E55A7">
      <w:pPr>
        <w:autoSpaceDE w:val="0"/>
        <w:autoSpaceDN w:val="0"/>
        <w:adjustRightInd w:val="0"/>
        <w:spacing w:after="0"/>
        <w:rPr>
          <w:rFonts w:ascii="Times New Roman" w:hAnsi="Times New Roman" w:cs="Times New Roman"/>
          <w:sz w:val="24"/>
          <w:szCs w:val="24"/>
          <w:lang w:val="en-US"/>
        </w:rPr>
      </w:pPr>
    </w:p>
    <w:p w14:paraId="2719A310" w14:textId="77777777" w:rsidR="009E55A7" w:rsidRPr="009772A6" w:rsidRDefault="009E55A7" w:rsidP="009E55A7">
      <w:pPr>
        <w:spacing w:line="240" w:lineRule="auto"/>
        <w:rPr>
          <w:sz w:val="24"/>
          <w:szCs w:val="24"/>
          <w:lang w:val="en-US"/>
        </w:rPr>
      </w:pPr>
      <w:r w:rsidRPr="009772A6">
        <w:rPr>
          <w:sz w:val="24"/>
          <w:szCs w:val="24"/>
          <w:lang w:val="en-US"/>
        </w:rPr>
        <w:t>Schmidt, V. A. (2008). Discursive institutionalism: The explanatory power of ideas and</w:t>
      </w:r>
      <w:r>
        <w:rPr>
          <w:sz w:val="24"/>
          <w:szCs w:val="24"/>
          <w:lang w:val="en-US"/>
        </w:rPr>
        <w:t xml:space="preserve"> </w:t>
      </w:r>
      <w:r w:rsidRPr="009772A6">
        <w:rPr>
          <w:sz w:val="24"/>
          <w:szCs w:val="24"/>
          <w:lang w:val="en-US"/>
        </w:rPr>
        <w:t xml:space="preserve">discourse. </w:t>
      </w:r>
      <w:r w:rsidRPr="009772A6">
        <w:rPr>
          <w:i/>
          <w:iCs/>
          <w:sz w:val="24"/>
          <w:szCs w:val="24"/>
          <w:lang w:val="en-US"/>
        </w:rPr>
        <w:t>Annual Review of Political Science, 11</w:t>
      </w:r>
      <w:r w:rsidRPr="00AA0C12">
        <w:rPr>
          <w:i/>
          <w:iCs/>
          <w:sz w:val="24"/>
          <w:szCs w:val="24"/>
          <w:lang w:val="en-US"/>
        </w:rPr>
        <w:t xml:space="preserve">, </w:t>
      </w:r>
      <w:r w:rsidRPr="00AA0C12">
        <w:rPr>
          <w:sz w:val="24"/>
          <w:szCs w:val="24"/>
          <w:lang w:val="en-US"/>
        </w:rPr>
        <w:t>303</w:t>
      </w:r>
      <w:r w:rsidRPr="00221D99">
        <w:rPr>
          <w:rFonts w:ascii="Times New Roman" w:hAnsi="Times New Roman" w:cstheme="majorHAnsi"/>
          <w:sz w:val="24"/>
          <w:szCs w:val="24"/>
          <w:lang w:val="en-US"/>
        </w:rPr>
        <w:t>–</w:t>
      </w:r>
      <w:r w:rsidRPr="009772A6">
        <w:rPr>
          <w:sz w:val="24"/>
          <w:szCs w:val="24"/>
          <w:lang w:val="en-US"/>
        </w:rPr>
        <w:t>326.</w:t>
      </w:r>
    </w:p>
    <w:p w14:paraId="1D915E74" w14:textId="77777777" w:rsidR="009E55A7" w:rsidRPr="009772A6" w:rsidRDefault="009E55A7" w:rsidP="009E55A7">
      <w:pPr>
        <w:spacing w:line="240" w:lineRule="auto"/>
        <w:rPr>
          <w:sz w:val="24"/>
          <w:szCs w:val="24"/>
          <w:lang w:val="en-US"/>
        </w:rPr>
      </w:pPr>
      <w:r w:rsidRPr="009772A6">
        <w:rPr>
          <w:sz w:val="24"/>
          <w:szCs w:val="24"/>
          <w:lang w:val="en-US"/>
        </w:rPr>
        <w:t xml:space="preserve">Schmidt, V. A. (2012). Reconciling ideas and institutions through discursive institutionalism.In D. Béland &amp; R. H. Cox (Eds.), </w:t>
      </w:r>
      <w:r w:rsidRPr="009772A6">
        <w:rPr>
          <w:i/>
          <w:iCs/>
          <w:sz w:val="24"/>
          <w:szCs w:val="24"/>
          <w:lang w:val="en-US"/>
        </w:rPr>
        <w:t>Ideas and politics in social science (</w:t>
      </w:r>
      <w:r w:rsidRPr="009772A6">
        <w:rPr>
          <w:sz w:val="24"/>
          <w:szCs w:val="24"/>
          <w:lang w:val="en-US"/>
        </w:rPr>
        <w:t>pp. 47–64). Oxford University Press.</w:t>
      </w:r>
    </w:p>
    <w:p w14:paraId="1BD7DE9C" w14:textId="77777777" w:rsidR="009E55A7" w:rsidRPr="003F09E1" w:rsidRDefault="009E55A7" w:rsidP="009E55A7">
      <w:pPr>
        <w:spacing w:line="360" w:lineRule="auto"/>
        <w:rPr>
          <w:sz w:val="24"/>
          <w:szCs w:val="24"/>
          <w:lang w:val="en-US"/>
        </w:rPr>
      </w:pPr>
    </w:p>
    <w:p w14:paraId="0E7A30E5" w14:textId="77777777" w:rsidR="002F6868" w:rsidRPr="002F6868" w:rsidRDefault="002F6868" w:rsidP="002F6868">
      <w:pPr>
        <w:pStyle w:val="Rubrik1"/>
        <w:rPr>
          <w:rStyle w:val="CitatChar"/>
          <w:b/>
          <w:bCs/>
          <w:i w:val="0"/>
          <w:iCs w:val="0"/>
          <w:sz w:val="28"/>
          <w:lang w:val="en-GB"/>
        </w:rPr>
      </w:pPr>
      <w:r w:rsidRPr="002F6868">
        <w:rPr>
          <w:rStyle w:val="CitatChar"/>
          <w:b/>
          <w:bCs/>
          <w:i w:val="0"/>
          <w:iCs w:val="0"/>
          <w:sz w:val="28"/>
          <w:lang w:val="en-GB"/>
        </w:rPr>
        <w:t>Scientification, Democratisation of Expertise and Societal Representation: Legitimation and Context in School Reforms of Denmark, Finland, and Norway</w:t>
      </w:r>
    </w:p>
    <w:p w14:paraId="00B28083" w14:textId="597435E2" w:rsidR="002F6868" w:rsidRPr="002F6868" w:rsidRDefault="002F6868" w:rsidP="002F6868">
      <w:pPr>
        <w:pStyle w:val="Rubrik1"/>
        <w:rPr>
          <w:b/>
          <w:bCs/>
          <w:sz w:val="24"/>
          <w:szCs w:val="24"/>
          <w:lang w:val="en-GB"/>
        </w:rPr>
      </w:pPr>
      <w:r w:rsidRPr="002F6868">
        <w:rPr>
          <w:rStyle w:val="CitatChar"/>
          <w:sz w:val="24"/>
          <w:szCs w:val="24"/>
          <w:lang w:val="en-GB"/>
        </w:rPr>
        <w:t>Saija Volmari, University of Helsinki</w:t>
      </w:r>
      <w:r w:rsidR="00345486">
        <w:rPr>
          <w:rStyle w:val="CitatChar"/>
          <w:sz w:val="24"/>
          <w:szCs w:val="24"/>
          <w:lang w:val="en-GB"/>
        </w:rPr>
        <w:t>, Finland</w:t>
      </w:r>
      <w:r w:rsidRPr="002F6868">
        <w:rPr>
          <w:rStyle w:val="CitatChar"/>
          <w:sz w:val="24"/>
          <w:szCs w:val="24"/>
          <w:lang w:val="en-GB"/>
        </w:rPr>
        <w:br/>
        <w:t>Trine Juul Reder, Aalborg University</w:t>
      </w:r>
      <w:r w:rsidR="00345486">
        <w:rPr>
          <w:rStyle w:val="CitatChar"/>
          <w:sz w:val="24"/>
          <w:szCs w:val="24"/>
          <w:lang w:val="en-GB"/>
        </w:rPr>
        <w:t>, Denmark</w:t>
      </w:r>
      <w:r w:rsidRPr="002F6868">
        <w:rPr>
          <w:rStyle w:val="CitatChar"/>
          <w:sz w:val="24"/>
          <w:szCs w:val="24"/>
          <w:lang w:val="en-GB"/>
        </w:rPr>
        <w:br/>
        <w:t>Bernadette Hörmann, University of Oslo</w:t>
      </w:r>
      <w:r w:rsidR="00345486">
        <w:rPr>
          <w:rStyle w:val="CitatChar"/>
          <w:sz w:val="24"/>
          <w:szCs w:val="24"/>
          <w:lang w:val="en-GB"/>
        </w:rPr>
        <w:t>, Norway</w:t>
      </w:r>
    </w:p>
    <w:p w14:paraId="3E7D63E6" w14:textId="77777777" w:rsidR="002F6868" w:rsidRDefault="002F6868" w:rsidP="002F6868">
      <w:pPr>
        <w:rPr>
          <w:rStyle w:val="CitatChar"/>
          <w:lang w:val="en-GB"/>
        </w:rPr>
      </w:pPr>
    </w:p>
    <w:p w14:paraId="6DEEAC03" w14:textId="77777777" w:rsidR="004F1D5E" w:rsidRDefault="002F6868" w:rsidP="004F1D5E">
      <w:pPr>
        <w:spacing w:line="360" w:lineRule="auto"/>
        <w:rPr>
          <w:rStyle w:val="CitatChar"/>
          <w:i w:val="0"/>
          <w:iCs w:val="0"/>
          <w:sz w:val="24"/>
          <w:szCs w:val="24"/>
          <w:lang w:val="en-GB"/>
        </w:rPr>
      </w:pPr>
      <w:r w:rsidRPr="002F6868">
        <w:rPr>
          <w:rStyle w:val="CitatChar"/>
          <w:i w:val="0"/>
          <w:iCs w:val="0"/>
          <w:sz w:val="24"/>
          <w:szCs w:val="24"/>
          <w:lang w:val="en-GB"/>
        </w:rPr>
        <w:t xml:space="preserve">Scientific knowledge has traditionally had a high status in legitimizing policy recommendations and reforms </w:t>
      </w:r>
      <w:r w:rsidRPr="002F6868">
        <w:rPr>
          <w:sz w:val="24"/>
          <w:szCs w:val="24"/>
          <w:lang w:val="en-GB"/>
        </w:rPr>
        <w:t>(Ozawa, 1991; Maasen and Weingart, 2005)</w:t>
      </w:r>
      <w:r w:rsidRPr="002F6868">
        <w:rPr>
          <w:rStyle w:val="CitatChar"/>
          <w:i w:val="0"/>
          <w:iCs w:val="0"/>
          <w:sz w:val="24"/>
          <w:szCs w:val="24"/>
          <w:lang w:val="en-GB"/>
        </w:rPr>
        <w:t>. However, knowledge used by policymakers today is produced by many actors competing with the expert status of academics (</w:t>
      </w:r>
      <w:r w:rsidR="004F1D5E" w:rsidRPr="002F6868">
        <w:rPr>
          <w:rStyle w:val="CitatChar"/>
          <w:i w:val="0"/>
          <w:iCs w:val="0"/>
          <w:sz w:val="24"/>
          <w:szCs w:val="24"/>
          <w:lang w:val="en-GB"/>
        </w:rPr>
        <w:t>e.g.,</w:t>
      </w:r>
      <w:r w:rsidRPr="002F6868">
        <w:rPr>
          <w:rStyle w:val="CitatChar"/>
          <w:i w:val="0"/>
          <w:iCs w:val="0"/>
          <w:sz w:val="24"/>
          <w:szCs w:val="24"/>
          <w:lang w:val="en-GB"/>
        </w:rPr>
        <w:t xml:space="preserve"> international organisations, think tanks and sector research institutes). The increasing demand for academia and science in legitimizing political decisions has by some scholars been characterized as "</w:t>
      </w:r>
      <w:r w:rsidRPr="002F6868">
        <w:rPr>
          <w:sz w:val="24"/>
          <w:szCs w:val="24"/>
          <w:lang w:val="en-US"/>
        </w:rPr>
        <w:t>scientification" (see for instance Krick et al., 2019; Weingart, 1999) or "expertisation" (Turner, 2003).</w:t>
      </w:r>
      <w:r w:rsidRPr="002F6868">
        <w:rPr>
          <w:rStyle w:val="CitatChar"/>
          <w:i w:val="0"/>
          <w:iCs w:val="0"/>
          <w:sz w:val="24"/>
          <w:szCs w:val="24"/>
          <w:lang w:val="en-US"/>
        </w:rPr>
        <w:t xml:space="preserve"> </w:t>
      </w:r>
      <w:r w:rsidRPr="002F6868">
        <w:rPr>
          <w:rStyle w:val="CitatChar"/>
          <w:i w:val="0"/>
          <w:iCs w:val="0"/>
          <w:sz w:val="24"/>
          <w:szCs w:val="24"/>
          <w:lang w:val="en-GB"/>
        </w:rPr>
        <w:t xml:space="preserve">In addition, policymaking is increasingly characterized by the participation of societal stakeholders as a way of building consensus and legitimizing reforms and policy recommendations which marks a shift </w:t>
      </w:r>
      <w:r w:rsidRPr="002F6868">
        <w:rPr>
          <w:sz w:val="24"/>
          <w:szCs w:val="24"/>
          <w:lang w:val="en-GB"/>
        </w:rPr>
        <w:t>towards a "democratization of expertise" (Maasen and Weingart, 2005).</w:t>
      </w:r>
    </w:p>
    <w:p w14:paraId="22FF9682" w14:textId="77777777" w:rsidR="004F1D5E" w:rsidRDefault="002F6868" w:rsidP="004F1D5E">
      <w:pPr>
        <w:spacing w:line="360" w:lineRule="auto"/>
        <w:ind w:firstLine="794"/>
        <w:rPr>
          <w:rStyle w:val="CitatChar"/>
          <w:i w:val="0"/>
          <w:iCs w:val="0"/>
          <w:sz w:val="24"/>
          <w:szCs w:val="24"/>
          <w:lang w:val="en-GB"/>
        </w:rPr>
      </w:pPr>
      <w:r w:rsidRPr="002F6868">
        <w:rPr>
          <w:rStyle w:val="CitatChar"/>
          <w:i w:val="0"/>
          <w:iCs w:val="0"/>
          <w:sz w:val="24"/>
          <w:szCs w:val="24"/>
          <w:lang w:val="en-GB"/>
        </w:rPr>
        <w:t xml:space="preserve">This paper examines the use of scientific and expert knowledge and the societal representation in the latest school reforms in Denmark, Finland, and Norway by combining a bibliometric analysis of policy references with an analysis of 15 in-depth interviews with </w:t>
      </w:r>
      <w:r w:rsidRPr="002F6868">
        <w:rPr>
          <w:rFonts w:eastAsia="Times New Roman"/>
          <w:sz w:val="24"/>
          <w:szCs w:val="24"/>
          <w:lang w:val="en-US"/>
        </w:rPr>
        <w:t>experts involved in the reforms</w:t>
      </w:r>
      <w:r w:rsidRPr="002F6868">
        <w:rPr>
          <w:rStyle w:val="CitatChar"/>
          <w:i w:val="0"/>
          <w:iCs w:val="0"/>
          <w:sz w:val="24"/>
          <w:szCs w:val="24"/>
          <w:lang w:val="en-GB"/>
        </w:rPr>
        <w:t xml:space="preserve">. The paper focuses on the weight given to different types of </w:t>
      </w:r>
      <w:r w:rsidRPr="002F6868">
        <w:rPr>
          <w:rStyle w:val="CitatChar"/>
          <w:i w:val="0"/>
          <w:iCs w:val="0"/>
          <w:sz w:val="24"/>
          <w:szCs w:val="24"/>
          <w:lang w:val="en-GB"/>
        </w:rPr>
        <w:lastRenderedPageBreak/>
        <w:t>evidence such as the influence of OECD reports and data compared to national evaluations and sector research. Furthermore, the involvement of the public and stakeholders is examined across the three cases. The authors assert that while these countries represent the Nordic model of education (Blossing et. al., 2014) regarding values and how schooling is organised, in terms of the use of evidence in school reforms, no such thing as a uniform Nordic model exists. The weight given to different types of policy knowledge depends on 'what works' in the national context, and especially what works as the most authoritative legitimation tool in the national policymaking environment. According to the informants, international large-scale assessments such as PISA were central in legitimating the need for the school reform in Denmark. In Finland, the informants stressed the importance of national evaluations, while in Norway scientific knowledge was emphasized. However, in all countries, the influence of OECD could be detected, even if the informants did not underline this influence and in the case of Norway, downplayed it to an extent.</w:t>
      </w:r>
    </w:p>
    <w:p w14:paraId="0AD313D2" w14:textId="440F88CA" w:rsidR="002F6868" w:rsidRPr="002F6868" w:rsidRDefault="002F6868" w:rsidP="004F1D5E">
      <w:pPr>
        <w:spacing w:line="360" w:lineRule="auto"/>
        <w:ind w:firstLine="794"/>
        <w:rPr>
          <w:rStyle w:val="CitatChar"/>
          <w:i w:val="0"/>
          <w:iCs w:val="0"/>
          <w:sz w:val="24"/>
          <w:szCs w:val="24"/>
          <w:lang w:val="en-GB"/>
        </w:rPr>
      </w:pPr>
      <w:r w:rsidRPr="002F6868">
        <w:rPr>
          <w:rStyle w:val="CitatChar"/>
          <w:i w:val="0"/>
          <w:iCs w:val="0"/>
          <w:sz w:val="24"/>
          <w:szCs w:val="24"/>
          <w:lang w:val="en-GB"/>
        </w:rPr>
        <w:t xml:space="preserve">In conclusion, our analysis shows that evidence is selected mainly based on how it fits the mandate and aim of the reform. </w:t>
      </w:r>
      <w:r w:rsidRPr="002F6868">
        <w:rPr>
          <w:rStyle w:val="CitatChar"/>
          <w:i w:val="0"/>
          <w:iCs w:val="0"/>
          <w:sz w:val="24"/>
          <w:szCs w:val="24"/>
          <w:lang w:val="en-US"/>
        </w:rPr>
        <w:t>An important aspect relates to the composition of the expert panels. The professional background and social networks of the members serve as the starting point for defining the direction of the argumentation as well as the selection of evidence in the reforms.</w:t>
      </w:r>
    </w:p>
    <w:p w14:paraId="5EAC1FF3" w14:textId="77777777" w:rsidR="002F6868" w:rsidRPr="002F6868" w:rsidRDefault="002F6868" w:rsidP="004F1D5E">
      <w:pPr>
        <w:pStyle w:val="Rubrik1"/>
        <w:spacing w:line="360" w:lineRule="auto"/>
        <w:rPr>
          <w:b/>
          <w:bCs/>
          <w:sz w:val="24"/>
          <w:szCs w:val="24"/>
          <w:lang w:val="en-GB"/>
        </w:rPr>
      </w:pPr>
      <w:r w:rsidRPr="002F6868">
        <w:rPr>
          <w:b/>
          <w:bCs/>
          <w:sz w:val="24"/>
          <w:szCs w:val="24"/>
          <w:lang w:val="en-GB"/>
        </w:rPr>
        <w:t>References</w:t>
      </w:r>
    </w:p>
    <w:p w14:paraId="0C52A41E" w14:textId="77777777" w:rsidR="002F6868" w:rsidRPr="002F6868" w:rsidRDefault="002F6868" w:rsidP="004F1D5E">
      <w:pPr>
        <w:pStyle w:val="Ingetavstnd"/>
        <w:spacing w:line="360" w:lineRule="auto"/>
        <w:rPr>
          <w:sz w:val="24"/>
          <w:szCs w:val="24"/>
          <w:lang w:val="en-US"/>
        </w:rPr>
      </w:pPr>
      <w:r w:rsidRPr="002F6868">
        <w:rPr>
          <w:sz w:val="24"/>
          <w:szCs w:val="24"/>
          <w:lang w:val="en-US"/>
        </w:rPr>
        <w:t>Blossing, U., Imsen, G. &amp; Moos, J. (2014). Nordic schools in a time of change. In: The Nordic education model. 'A school for all' encounters neo-liberal policy. Springer. DOI: 10.1007/978-94-007-7125-3</w:t>
      </w:r>
    </w:p>
    <w:p w14:paraId="66781E0A" w14:textId="77777777" w:rsidR="002F6868" w:rsidRDefault="002F6868" w:rsidP="004F1D5E">
      <w:pPr>
        <w:pStyle w:val="Ingetavstnd"/>
        <w:spacing w:line="360" w:lineRule="auto"/>
        <w:rPr>
          <w:sz w:val="24"/>
          <w:szCs w:val="24"/>
          <w:lang w:val="en-US"/>
        </w:rPr>
      </w:pPr>
    </w:p>
    <w:p w14:paraId="596EC985" w14:textId="106A915B" w:rsidR="002F6868" w:rsidRDefault="002F6868" w:rsidP="004F1D5E">
      <w:pPr>
        <w:pStyle w:val="Ingetavstnd"/>
        <w:spacing w:line="360" w:lineRule="auto"/>
        <w:rPr>
          <w:sz w:val="24"/>
          <w:szCs w:val="24"/>
          <w:lang w:val="en-US"/>
        </w:rPr>
      </w:pPr>
      <w:r w:rsidRPr="002F6868">
        <w:rPr>
          <w:sz w:val="24"/>
          <w:szCs w:val="24"/>
          <w:lang w:val="en-US"/>
        </w:rPr>
        <w:t>Krick, E., Christensen, J. &amp; Holst, C. (2019). Between ´scientization´and a ´participatory Turn´. Tracing shifts in the governance of policy advice. Science and Public Policy, 46 (6), 927-939. DOI: 10.1093/scipol/scz040</w:t>
      </w:r>
    </w:p>
    <w:p w14:paraId="6356F9CB" w14:textId="77777777" w:rsidR="002F6868" w:rsidRPr="002F6868" w:rsidRDefault="002F6868" w:rsidP="004F1D5E">
      <w:pPr>
        <w:pStyle w:val="Ingetavstnd"/>
        <w:spacing w:line="360" w:lineRule="auto"/>
        <w:rPr>
          <w:sz w:val="24"/>
          <w:szCs w:val="24"/>
          <w:lang w:val="en-US"/>
        </w:rPr>
      </w:pPr>
    </w:p>
    <w:p w14:paraId="0A35DD1E" w14:textId="77777777" w:rsidR="002F6868" w:rsidRPr="002F6868" w:rsidRDefault="002F6868" w:rsidP="004F1D5E">
      <w:pPr>
        <w:pStyle w:val="Ingetavstnd"/>
        <w:spacing w:line="360" w:lineRule="auto"/>
        <w:rPr>
          <w:sz w:val="24"/>
          <w:szCs w:val="24"/>
          <w:lang w:val="en-US"/>
        </w:rPr>
      </w:pPr>
      <w:r w:rsidRPr="002F6868">
        <w:rPr>
          <w:sz w:val="24"/>
          <w:szCs w:val="24"/>
          <w:lang w:val="en-GB"/>
        </w:rPr>
        <w:t xml:space="preserve">Maasen, S. &amp; Weingart (2005). </w:t>
      </w:r>
      <w:hyperlink r:id="rId11">
        <w:r w:rsidRPr="002F6868">
          <w:rPr>
            <w:sz w:val="24"/>
            <w:szCs w:val="24"/>
            <w:lang w:val="en-GB"/>
          </w:rPr>
          <w:t>Democratization of expertise? Exploring novel forms of scientific advice in political decision-making</w:t>
        </w:r>
      </w:hyperlink>
      <w:r w:rsidRPr="002F6868">
        <w:rPr>
          <w:sz w:val="24"/>
          <w:szCs w:val="24"/>
          <w:lang w:val="en-GB"/>
        </w:rPr>
        <w:t xml:space="preserve">. Springer. DOI: </w:t>
      </w:r>
      <w:r w:rsidRPr="002F6868">
        <w:rPr>
          <w:sz w:val="24"/>
          <w:szCs w:val="24"/>
          <w:lang w:val="en-US"/>
        </w:rPr>
        <w:t>10.1007/1-4020-3754-6 </w:t>
      </w:r>
    </w:p>
    <w:p w14:paraId="4F708DA8" w14:textId="6ACD9AEA" w:rsidR="002F6868" w:rsidRDefault="002F6868" w:rsidP="004F1D5E">
      <w:pPr>
        <w:pStyle w:val="Ingetavstnd"/>
        <w:spacing w:line="360" w:lineRule="auto"/>
        <w:rPr>
          <w:sz w:val="24"/>
          <w:szCs w:val="24"/>
          <w:lang w:val="en-GB"/>
        </w:rPr>
      </w:pPr>
      <w:r w:rsidRPr="002F6868">
        <w:rPr>
          <w:sz w:val="24"/>
          <w:szCs w:val="24"/>
          <w:lang w:val="en-GB"/>
        </w:rPr>
        <w:t>Ozawa, Connie P. 1991. Recasting science: Consensual procedures in public policy making. Routledge. DOI: 10.4324/9780429303920</w:t>
      </w:r>
    </w:p>
    <w:p w14:paraId="6CBCF293" w14:textId="77777777" w:rsidR="002F6868" w:rsidRPr="002F6868" w:rsidRDefault="002F6868" w:rsidP="004F1D5E">
      <w:pPr>
        <w:pStyle w:val="Ingetavstnd"/>
        <w:spacing w:line="360" w:lineRule="auto"/>
        <w:rPr>
          <w:sz w:val="24"/>
          <w:szCs w:val="24"/>
          <w:lang w:val="en-GB"/>
        </w:rPr>
      </w:pPr>
    </w:p>
    <w:p w14:paraId="2BF743FE" w14:textId="77777777" w:rsidR="002F6868" w:rsidRPr="002F6868" w:rsidRDefault="002F6868" w:rsidP="004F1D5E">
      <w:pPr>
        <w:pStyle w:val="Ingetavstnd"/>
        <w:spacing w:line="360" w:lineRule="auto"/>
        <w:rPr>
          <w:sz w:val="24"/>
          <w:szCs w:val="24"/>
          <w:lang w:val="en-US"/>
        </w:rPr>
      </w:pPr>
      <w:r w:rsidRPr="002F6868">
        <w:rPr>
          <w:sz w:val="24"/>
          <w:szCs w:val="24"/>
          <w:lang w:val="en-US"/>
        </w:rPr>
        <w:lastRenderedPageBreak/>
        <w:t>Turner, S. (2003) Liberal democracy 3.0. Sage. DOI: 10.4135/9781446217498</w:t>
      </w:r>
    </w:p>
    <w:p w14:paraId="47F83892" w14:textId="77777777" w:rsidR="002F6868" w:rsidRPr="002F6868" w:rsidRDefault="002F6868" w:rsidP="004F1D5E">
      <w:pPr>
        <w:pStyle w:val="Ingetavstnd"/>
        <w:spacing w:line="360" w:lineRule="auto"/>
        <w:rPr>
          <w:sz w:val="24"/>
          <w:szCs w:val="24"/>
          <w:lang w:val="en-US"/>
        </w:rPr>
      </w:pPr>
      <w:r w:rsidRPr="002F6868">
        <w:rPr>
          <w:sz w:val="24"/>
          <w:szCs w:val="24"/>
          <w:lang w:val="en-US"/>
        </w:rPr>
        <w:t>Weingart, P. (1999) Scientific expertise and political accountability: paradoxes of science in politics. Science and Public Policy, Vol. 26, No. 3, June 1999, pp. 151–161. DOI: 10.3152/147154399781782437</w:t>
      </w:r>
    </w:p>
    <w:p w14:paraId="189F15F4" w14:textId="77777777" w:rsidR="002F6868" w:rsidRPr="002F6868" w:rsidRDefault="002F6868" w:rsidP="004F1D5E">
      <w:pPr>
        <w:pStyle w:val="Ingetavstnd"/>
        <w:spacing w:line="360" w:lineRule="auto"/>
        <w:rPr>
          <w:sz w:val="24"/>
          <w:szCs w:val="24"/>
          <w:lang w:val="en-GB"/>
        </w:rPr>
      </w:pPr>
    </w:p>
    <w:p w14:paraId="2A19EE1C" w14:textId="77777777" w:rsidR="002F6868" w:rsidRPr="002F6868" w:rsidRDefault="002F6868" w:rsidP="004F1D5E">
      <w:pPr>
        <w:pStyle w:val="Ingetavstnd"/>
        <w:spacing w:line="360" w:lineRule="auto"/>
        <w:rPr>
          <w:sz w:val="24"/>
          <w:szCs w:val="24"/>
          <w:lang w:val="en-GB"/>
        </w:rPr>
      </w:pPr>
    </w:p>
    <w:p w14:paraId="3EE04CE1" w14:textId="0CD98D2F" w:rsidR="009E55A7" w:rsidRPr="002F6868" w:rsidRDefault="009E55A7" w:rsidP="004F1D5E">
      <w:pPr>
        <w:spacing w:line="360" w:lineRule="auto"/>
        <w:rPr>
          <w:sz w:val="24"/>
          <w:szCs w:val="24"/>
        </w:rPr>
        <w:sectPr w:rsidR="009E55A7" w:rsidRPr="002F6868">
          <w:pgSz w:w="11906" w:h="16838"/>
          <w:pgMar w:top="1417" w:right="1417" w:bottom="1417" w:left="1417" w:header="708" w:footer="708" w:gutter="0"/>
          <w:cols w:space="708"/>
          <w:docGrid w:linePitch="360"/>
        </w:sectPr>
      </w:pPr>
    </w:p>
    <w:p w14:paraId="3CF99B6C" w14:textId="77777777" w:rsidR="00875F72" w:rsidRPr="005D1DBE" w:rsidRDefault="00875F72" w:rsidP="004F1D5E">
      <w:pPr>
        <w:autoSpaceDE w:val="0"/>
        <w:autoSpaceDN w:val="0"/>
        <w:adjustRightInd w:val="0"/>
        <w:spacing w:after="0" w:line="360" w:lineRule="auto"/>
        <w:rPr>
          <w:rFonts w:asciiTheme="majorHAnsi" w:hAnsiTheme="majorHAnsi" w:cstheme="majorHAnsi"/>
          <w:sz w:val="24"/>
          <w:szCs w:val="24"/>
          <w:lang w:val="en-US"/>
        </w:rPr>
      </w:pPr>
    </w:p>
    <w:sectPr w:rsidR="00875F72" w:rsidRPr="005D1DBE" w:rsidSect="008A7268">
      <w:footerReference w:type="default" r:id="rId12"/>
      <w:headerReference w:type="first" r:id="rId13"/>
      <w:footerReference w:type="first" r:id="rId14"/>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51D9C" w14:textId="77777777" w:rsidR="000F15EC" w:rsidRDefault="000F15EC" w:rsidP="006B1171">
      <w:pPr>
        <w:spacing w:line="240" w:lineRule="auto"/>
      </w:pPr>
      <w:r>
        <w:separator/>
      </w:r>
    </w:p>
  </w:endnote>
  <w:endnote w:type="continuationSeparator" w:id="0">
    <w:p w14:paraId="51AE56AD" w14:textId="77777777" w:rsidR="000F15EC" w:rsidRDefault="000F15EC"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Deja Vu Serif">
    <w:altName w:val="Cambria"/>
    <w:panose1 w:val="020B0604020202020204"/>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3905" w14:textId="77777777" w:rsidR="005C15BD" w:rsidRDefault="005C15BD" w:rsidP="008931BA">
    <w:pPr>
      <w:pStyle w:val="Sidfot"/>
      <w:tabs>
        <w:tab w:val="clear" w:pos="4513"/>
        <w:tab w:val="clear" w:pos="9026"/>
        <w:tab w:val="center" w:pos="3686"/>
        <w:tab w:val="right" w:pos="7456"/>
      </w:tabs>
      <w:jc w:val="right"/>
    </w:pPr>
    <w:r>
      <w:fldChar w:fldCharType="begin"/>
    </w:r>
    <w:r>
      <w:instrText xml:space="preserve"> PAGE   \* MERGEFORMAT </w:instrText>
    </w:r>
    <w:r>
      <w:fldChar w:fldCharType="separate"/>
    </w:r>
    <w:r w:rsidR="00BF337A">
      <w:rPr>
        <w:noProof/>
      </w:rPr>
      <w:t>2</w:t>
    </w:r>
    <w:r>
      <w:fldChar w:fldCharType="end"/>
    </w:r>
    <w:r>
      <w:t xml:space="preserve"> (</w:t>
    </w:r>
    <w:fldSimple w:instr=" NUMPAGES   \* MERGEFORMAT ">
      <w:r w:rsidR="00BF337A">
        <w:rPr>
          <w:noProof/>
        </w:rPr>
        <w:t>2</w:t>
      </w:r>
    </w:fldSimple>
    <w:r>
      <w:t>)</w:t>
    </w:r>
  </w:p>
  <w:p w14:paraId="5130515A" w14:textId="77777777" w:rsidR="008931BA" w:rsidRDefault="008931BA" w:rsidP="008931BA">
    <w:pPr>
      <w:pStyle w:val="Sidfot"/>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6724" w14:textId="77777777" w:rsidR="00BB6830" w:rsidRDefault="00BB6830" w:rsidP="008931BA">
    <w:pPr>
      <w:pStyle w:val="Sidfot"/>
      <w:tabs>
        <w:tab w:val="clear" w:pos="4513"/>
        <w:tab w:val="clear" w:pos="9026"/>
        <w:tab w:val="center" w:pos="3686"/>
        <w:tab w:val="right" w:pos="7456"/>
      </w:tabs>
      <w:jc w:val="right"/>
    </w:pPr>
    <w:r>
      <w:fldChar w:fldCharType="begin"/>
    </w:r>
    <w:r>
      <w:instrText xml:space="preserve"> PAGE   \* MERGEFORMAT </w:instrText>
    </w:r>
    <w:r>
      <w:fldChar w:fldCharType="separate"/>
    </w:r>
    <w:r w:rsidR="00BC1837">
      <w:rPr>
        <w:noProof/>
      </w:rPr>
      <w:t>1</w:t>
    </w:r>
    <w:r>
      <w:fldChar w:fldCharType="end"/>
    </w:r>
    <w:r>
      <w:t xml:space="preserve"> (</w:t>
    </w:r>
    <w:fldSimple w:instr=" NUMPAGES   \* MERGEFORMAT ">
      <w:r w:rsidR="00BC1837">
        <w:rPr>
          <w:noProof/>
        </w:rPr>
        <w:t>1</w:t>
      </w:r>
    </w:fldSimple>
    <w:r>
      <w:t>)</w:t>
    </w:r>
  </w:p>
  <w:p w14:paraId="4D698F2B" w14:textId="77777777" w:rsidR="008257E2" w:rsidRPr="005C15BD" w:rsidRDefault="008257E2" w:rsidP="005C15B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6736" w14:textId="77777777" w:rsidR="000F15EC" w:rsidRDefault="000F15EC" w:rsidP="006B1171">
      <w:pPr>
        <w:spacing w:line="240" w:lineRule="auto"/>
      </w:pPr>
      <w:r>
        <w:separator/>
      </w:r>
    </w:p>
  </w:footnote>
  <w:footnote w:type="continuationSeparator" w:id="0">
    <w:p w14:paraId="2EDB531C" w14:textId="77777777" w:rsidR="000F15EC" w:rsidRDefault="000F15EC"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3AD8" w14:textId="77777777" w:rsidR="00B230ED" w:rsidRDefault="00B230ED" w:rsidP="00F27BF7">
    <w:pPr>
      <w:pStyle w:val="Sidhuvud"/>
      <w:tabs>
        <w:tab w:val="clear" w:pos="6804"/>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717D4"/>
    <w:multiLevelType w:val="hybridMultilevel"/>
    <w:tmpl w:val="AB28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60674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9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68"/>
    <w:rsid w:val="000210EC"/>
    <w:rsid w:val="00024CB9"/>
    <w:rsid w:val="00026BF4"/>
    <w:rsid w:val="00036E97"/>
    <w:rsid w:val="000641DB"/>
    <w:rsid w:val="00067950"/>
    <w:rsid w:val="00081916"/>
    <w:rsid w:val="00083DA1"/>
    <w:rsid w:val="000B4751"/>
    <w:rsid w:val="000C2381"/>
    <w:rsid w:val="000D3DBB"/>
    <w:rsid w:val="000D4157"/>
    <w:rsid w:val="000F15EC"/>
    <w:rsid w:val="001305DC"/>
    <w:rsid w:val="001409EB"/>
    <w:rsid w:val="00176AEE"/>
    <w:rsid w:val="001830A5"/>
    <w:rsid w:val="00187560"/>
    <w:rsid w:val="001A36CD"/>
    <w:rsid w:val="001A7A99"/>
    <w:rsid w:val="001B15B4"/>
    <w:rsid w:val="001D38F8"/>
    <w:rsid w:val="001F204D"/>
    <w:rsid w:val="001F5100"/>
    <w:rsid w:val="0022293A"/>
    <w:rsid w:val="00224E4D"/>
    <w:rsid w:val="00225D07"/>
    <w:rsid w:val="00231E7C"/>
    <w:rsid w:val="00237022"/>
    <w:rsid w:val="00245800"/>
    <w:rsid w:val="00254791"/>
    <w:rsid w:val="00262146"/>
    <w:rsid w:val="00264C04"/>
    <w:rsid w:val="00271EB2"/>
    <w:rsid w:val="002A30FE"/>
    <w:rsid w:val="002E0106"/>
    <w:rsid w:val="002E37C5"/>
    <w:rsid w:val="002F0D67"/>
    <w:rsid w:val="002F4598"/>
    <w:rsid w:val="002F4824"/>
    <w:rsid w:val="002F6868"/>
    <w:rsid w:val="00305172"/>
    <w:rsid w:val="00322CC2"/>
    <w:rsid w:val="00330470"/>
    <w:rsid w:val="00332E1E"/>
    <w:rsid w:val="00345486"/>
    <w:rsid w:val="00354B70"/>
    <w:rsid w:val="00360436"/>
    <w:rsid w:val="003A2343"/>
    <w:rsid w:val="003B057F"/>
    <w:rsid w:val="003C683C"/>
    <w:rsid w:val="003E6C56"/>
    <w:rsid w:val="003F068C"/>
    <w:rsid w:val="0040564D"/>
    <w:rsid w:val="00414171"/>
    <w:rsid w:val="0042207C"/>
    <w:rsid w:val="00425A89"/>
    <w:rsid w:val="00441DBD"/>
    <w:rsid w:val="004610B7"/>
    <w:rsid w:val="00461A08"/>
    <w:rsid w:val="004A3F6B"/>
    <w:rsid w:val="004B734D"/>
    <w:rsid w:val="004F1D5E"/>
    <w:rsid w:val="005102EF"/>
    <w:rsid w:val="00520180"/>
    <w:rsid w:val="00535952"/>
    <w:rsid w:val="00540FB9"/>
    <w:rsid w:val="005463C4"/>
    <w:rsid w:val="00575F6D"/>
    <w:rsid w:val="0057646F"/>
    <w:rsid w:val="00581C36"/>
    <w:rsid w:val="00597261"/>
    <w:rsid w:val="005A69B0"/>
    <w:rsid w:val="005B0F94"/>
    <w:rsid w:val="005C15BD"/>
    <w:rsid w:val="005D1DBE"/>
    <w:rsid w:val="005F43EE"/>
    <w:rsid w:val="005F463F"/>
    <w:rsid w:val="00617599"/>
    <w:rsid w:val="006260E2"/>
    <w:rsid w:val="00641B68"/>
    <w:rsid w:val="00650F57"/>
    <w:rsid w:val="00653AC9"/>
    <w:rsid w:val="00657D2B"/>
    <w:rsid w:val="006B1171"/>
    <w:rsid w:val="006B61CF"/>
    <w:rsid w:val="006D3CDA"/>
    <w:rsid w:val="00717C6A"/>
    <w:rsid w:val="0078347B"/>
    <w:rsid w:val="007A1FBF"/>
    <w:rsid w:val="007A5CE6"/>
    <w:rsid w:val="007D29C3"/>
    <w:rsid w:val="007E3500"/>
    <w:rsid w:val="00812431"/>
    <w:rsid w:val="008257E2"/>
    <w:rsid w:val="00831D36"/>
    <w:rsid w:val="008333A8"/>
    <w:rsid w:val="00833B7F"/>
    <w:rsid w:val="0083526F"/>
    <w:rsid w:val="0083590A"/>
    <w:rsid w:val="00837AB5"/>
    <w:rsid w:val="0084447E"/>
    <w:rsid w:val="00852CF5"/>
    <w:rsid w:val="00857487"/>
    <w:rsid w:val="00861CF0"/>
    <w:rsid w:val="00875F72"/>
    <w:rsid w:val="00882F29"/>
    <w:rsid w:val="008931BA"/>
    <w:rsid w:val="008A7268"/>
    <w:rsid w:val="008E4BEA"/>
    <w:rsid w:val="0090373D"/>
    <w:rsid w:val="00927E29"/>
    <w:rsid w:val="00937654"/>
    <w:rsid w:val="00942E57"/>
    <w:rsid w:val="00964460"/>
    <w:rsid w:val="00966B4A"/>
    <w:rsid w:val="00974C5C"/>
    <w:rsid w:val="00997C5C"/>
    <w:rsid w:val="009A6E85"/>
    <w:rsid w:val="009A7AD5"/>
    <w:rsid w:val="009B5C8F"/>
    <w:rsid w:val="009E55A7"/>
    <w:rsid w:val="009F0626"/>
    <w:rsid w:val="009F268A"/>
    <w:rsid w:val="009F4455"/>
    <w:rsid w:val="00A00063"/>
    <w:rsid w:val="00A00D12"/>
    <w:rsid w:val="00A11879"/>
    <w:rsid w:val="00A123BE"/>
    <w:rsid w:val="00A221BB"/>
    <w:rsid w:val="00A233D8"/>
    <w:rsid w:val="00A45F3B"/>
    <w:rsid w:val="00A52332"/>
    <w:rsid w:val="00A61CB2"/>
    <w:rsid w:val="00A83849"/>
    <w:rsid w:val="00AC5F75"/>
    <w:rsid w:val="00B0239C"/>
    <w:rsid w:val="00B230ED"/>
    <w:rsid w:val="00B2734A"/>
    <w:rsid w:val="00B30F48"/>
    <w:rsid w:val="00B53934"/>
    <w:rsid w:val="00B55811"/>
    <w:rsid w:val="00B60AC7"/>
    <w:rsid w:val="00B65207"/>
    <w:rsid w:val="00B737E1"/>
    <w:rsid w:val="00B85505"/>
    <w:rsid w:val="00BB6830"/>
    <w:rsid w:val="00BC1837"/>
    <w:rsid w:val="00BC3068"/>
    <w:rsid w:val="00BE63BF"/>
    <w:rsid w:val="00BF337A"/>
    <w:rsid w:val="00C255E1"/>
    <w:rsid w:val="00C37281"/>
    <w:rsid w:val="00C524B9"/>
    <w:rsid w:val="00C540EB"/>
    <w:rsid w:val="00C60CCD"/>
    <w:rsid w:val="00C81A8F"/>
    <w:rsid w:val="00C9159A"/>
    <w:rsid w:val="00CA33FA"/>
    <w:rsid w:val="00CC5C20"/>
    <w:rsid w:val="00CC60F9"/>
    <w:rsid w:val="00CD3653"/>
    <w:rsid w:val="00CE5D96"/>
    <w:rsid w:val="00D24665"/>
    <w:rsid w:val="00D24C91"/>
    <w:rsid w:val="00D33B1C"/>
    <w:rsid w:val="00D45A9F"/>
    <w:rsid w:val="00D51369"/>
    <w:rsid w:val="00D558B6"/>
    <w:rsid w:val="00D55BBD"/>
    <w:rsid w:val="00D62DA0"/>
    <w:rsid w:val="00D70F91"/>
    <w:rsid w:val="00D7406C"/>
    <w:rsid w:val="00D82E29"/>
    <w:rsid w:val="00E02236"/>
    <w:rsid w:val="00E04D45"/>
    <w:rsid w:val="00E07311"/>
    <w:rsid w:val="00E479FE"/>
    <w:rsid w:val="00E54FFE"/>
    <w:rsid w:val="00E6648C"/>
    <w:rsid w:val="00E73687"/>
    <w:rsid w:val="00E76D98"/>
    <w:rsid w:val="00E9348F"/>
    <w:rsid w:val="00E93CB6"/>
    <w:rsid w:val="00ED335B"/>
    <w:rsid w:val="00EE514A"/>
    <w:rsid w:val="00EF448E"/>
    <w:rsid w:val="00F02167"/>
    <w:rsid w:val="00F25D23"/>
    <w:rsid w:val="00F27BF7"/>
    <w:rsid w:val="00F30BF9"/>
    <w:rsid w:val="00F30DA3"/>
    <w:rsid w:val="00F44E31"/>
    <w:rsid w:val="00F51A55"/>
    <w:rsid w:val="00F544F7"/>
    <w:rsid w:val="00F6226E"/>
    <w:rsid w:val="00F75487"/>
    <w:rsid w:val="00F85B00"/>
    <w:rsid w:val="00FB1AAF"/>
    <w:rsid w:val="00FB2A50"/>
    <w:rsid w:val="00FC3A96"/>
    <w:rsid w:val="00FC692D"/>
    <w:rsid w:val="00FC77BA"/>
    <w:rsid w:val="00FD3507"/>
    <w:rsid w:val="00FD59B5"/>
    <w:rsid w:val="00FD5A10"/>
    <w:rsid w:val="00FF2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93DD2"/>
  <w15:chartTrackingRefBased/>
  <w15:docId w15:val="{2C26A3F7-9370-427A-A917-DAA521A1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5B"/>
    <w:rPr>
      <w:rFonts w:cstheme="minorHAnsi"/>
      <w:color w:val="000000"/>
    </w:rPr>
  </w:style>
  <w:style w:type="paragraph" w:styleId="Rubrik1">
    <w:name w:val="heading 1"/>
    <w:basedOn w:val="Normal"/>
    <w:next w:val="Normal"/>
    <w:link w:val="Rubrik1Char"/>
    <w:uiPriority w:val="9"/>
    <w:qFormat/>
    <w:rsid w:val="00A52332"/>
    <w:pPr>
      <w:keepNext/>
      <w:keepLines/>
      <w:spacing w:before="480" w:after="120"/>
      <w:outlineLvl w:val="0"/>
    </w:pPr>
    <w:rPr>
      <w:rFonts w:asciiTheme="majorHAnsi" w:eastAsiaTheme="majorEastAsia" w:hAnsiTheme="majorHAnsi" w:cstheme="majorHAnsi"/>
      <w:sz w:val="34"/>
      <w:szCs w:val="32"/>
    </w:rPr>
  </w:style>
  <w:style w:type="paragraph" w:styleId="Rubrik2">
    <w:name w:val="heading 2"/>
    <w:basedOn w:val="Normal"/>
    <w:next w:val="Normal"/>
    <w:link w:val="Rubrik2Char"/>
    <w:uiPriority w:val="9"/>
    <w:qFormat/>
    <w:rsid w:val="00B60AC7"/>
    <w:pPr>
      <w:keepNext/>
      <w:keepLines/>
      <w:spacing w:before="240" w:after="0"/>
      <w:outlineLvl w:val="1"/>
    </w:pPr>
    <w:rPr>
      <w:rFonts w:asciiTheme="majorHAnsi" w:eastAsiaTheme="majorEastAsia" w:hAnsiTheme="majorHAnsi" w:cstheme="majorHAnsi"/>
      <w:sz w:val="26"/>
      <w:szCs w:val="28"/>
    </w:rPr>
  </w:style>
  <w:style w:type="paragraph" w:styleId="Rubrik3">
    <w:name w:val="heading 3"/>
    <w:basedOn w:val="Normal"/>
    <w:next w:val="Normal"/>
    <w:link w:val="Rubrik3Char"/>
    <w:uiPriority w:val="9"/>
    <w:qFormat/>
    <w:rsid w:val="00B60AC7"/>
    <w:pPr>
      <w:keepNext/>
      <w:keepLines/>
      <w:spacing w:before="240" w:after="0"/>
      <w:outlineLvl w:val="2"/>
    </w:pPr>
    <w:rPr>
      <w:rFonts w:asciiTheme="majorHAnsi" w:eastAsiaTheme="majorEastAsia" w:hAnsiTheme="majorHAnsi" w:cstheme="majorHAnsi"/>
      <w:b/>
    </w:rPr>
  </w:style>
  <w:style w:type="paragraph" w:styleId="Rubrik4">
    <w:name w:val="heading 4"/>
    <w:basedOn w:val="Normal"/>
    <w:next w:val="Normal"/>
    <w:link w:val="Rubrik4Char"/>
    <w:uiPriority w:val="9"/>
    <w:qFormat/>
    <w:rsid w:val="00B60AC7"/>
    <w:pPr>
      <w:keepNext/>
      <w:keepLines/>
      <w:spacing w:before="240" w:after="0"/>
      <w:outlineLvl w:val="3"/>
    </w:pPr>
    <w:rPr>
      <w:rFonts w:asciiTheme="majorHAnsi" w:eastAsiaTheme="majorEastAsia" w:hAnsiTheme="majorHAnsi" w:cstheme="majorHAnsi"/>
      <w:i/>
      <w:iCs/>
    </w:rPr>
  </w:style>
  <w:style w:type="paragraph" w:styleId="Rubrik5">
    <w:name w:val="heading 5"/>
    <w:basedOn w:val="Normal"/>
    <w:next w:val="Normal"/>
    <w:link w:val="Rubrik5Char"/>
    <w:uiPriority w:val="9"/>
    <w:semiHidden/>
    <w:unhideWhenUsed/>
    <w:qFormat/>
    <w:rsid w:val="006B1171"/>
    <w:pPr>
      <w:keepNext/>
      <w:keepLines/>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6B1171"/>
    <w:pPr>
      <w:keepNext/>
      <w:keepLines/>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6B1171"/>
    <w:pPr>
      <w:keepNext/>
      <w:keepLines/>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6B1171"/>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6B1171"/>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D335B"/>
    <w:pPr>
      <w:tabs>
        <w:tab w:val="left" w:pos="6804"/>
      </w:tabs>
      <w:spacing w:after="0" w:line="240" w:lineRule="auto"/>
      <w:ind w:right="-1332"/>
    </w:pPr>
  </w:style>
  <w:style w:type="character" w:customStyle="1" w:styleId="SidhuvudChar">
    <w:name w:val="Sidhuvud Char"/>
    <w:basedOn w:val="Standardstycketeckensnitt"/>
    <w:link w:val="Sidhuvud"/>
    <w:uiPriority w:val="99"/>
    <w:rsid w:val="00ED335B"/>
    <w:rPr>
      <w:rFonts w:cstheme="minorHAnsi"/>
      <w:color w:val="000000"/>
    </w:rPr>
  </w:style>
  <w:style w:type="paragraph" w:styleId="Sidfot">
    <w:name w:val="footer"/>
    <w:basedOn w:val="Normal"/>
    <w:link w:val="SidfotChar"/>
    <w:uiPriority w:val="99"/>
    <w:unhideWhenUsed/>
    <w:rsid w:val="00ED335B"/>
    <w:pPr>
      <w:tabs>
        <w:tab w:val="center" w:pos="4513"/>
        <w:tab w:val="right" w:pos="9026"/>
      </w:tabs>
      <w:spacing w:after="0" w:line="180" w:lineRule="atLeast"/>
    </w:pPr>
    <w:rPr>
      <w:sz w:val="16"/>
    </w:rPr>
  </w:style>
  <w:style w:type="character" w:customStyle="1" w:styleId="SidfotChar">
    <w:name w:val="Sidfot Char"/>
    <w:basedOn w:val="Standardstycketeckensnitt"/>
    <w:link w:val="Sidfot"/>
    <w:uiPriority w:val="99"/>
    <w:rsid w:val="00ED335B"/>
    <w:rPr>
      <w:rFonts w:cstheme="minorHAnsi"/>
      <w:color w:val="000000"/>
      <w:sz w:val="16"/>
    </w:rPr>
  </w:style>
  <w:style w:type="table" w:styleId="Tabellrutnt">
    <w:name w:val="Table Grid"/>
    <w:basedOn w:val="Normaltabel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A52332"/>
    <w:rPr>
      <w:rFonts w:asciiTheme="majorHAnsi" w:eastAsiaTheme="majorEastAsia" w:hAnsiTheme="majorHAnsi" w:cstheme="majorHAnsi"/>
      <w:color w:val="000000"/>
      <w:sz w:val="34"/>
      <w:szCs w:val="32"/>
    </w:rPr>
  </w:style>
  <w:style w:type="character" w:customStyle="1" w:styleId="Rubrik2Char">
    <w:name w:val="Rubrik 2 Char"/>
    <w:basedOn w:val="Standardstycketeckensnitt"/>
    <w:link w:val="Rubrik2"/>
    <w:uiPriority w:val="9"/>
    <w:rsid w:val="00B60AC7"/>
    <w:rPr>
      <w:rFonts w:asciiTheme="majorHAnsi" w:eastAsiaTheme="majorEastAsia" w:hAnsiTheme="majorHAnsi" w:cstheme="majorHAnsi"/>
      <w:color w:val="000000"/>
      <w:sz w:val="26"/>
      <w:szCs w:val="28"/>
    </w:rPr>
  </w:style>
  <w:style w:type="character" w:customStyle="1" w:styleId="Rubrik3Char">
    <w:name w:val="Rubrik 3 Char"/>
    <w:basedOn w:val="Standardstycketeckensnitt"/>
    <w:link w:val="Rubrik3"/>
    <w:uiPriority w:val="9"/>
    <w:rsid w:val="00B60AC7"/>
    <w:rPr>
      <w:rFonts w:asciiTheme="majorHAnsi" w:eastAsiaTheme="majorEastAsia" w:hAnsiTheme="majorHAnsi" w:cstheme="majorHAnsi"/>
      <w:b/>
      <w:color w:val="000000"/>
    </w:rPr>
  </w:style>
  <w:style w:type="character" w:customStyle="1" w:styleId="Rubrik4Char">
    <w:name w:val="Rubrik 4 Char"/>
    <w:basedOn w:val="Standardstycketeckensnitt"/>
    <w:link w:val="Rubrik4"/>
    <w:uiPriority w:val="9"/>
    <w:rsid w:val="00B60AC7"/>
    <w:rPr>
      <w:rFonts w:asciiTheme="majorHAnsi" w:eastAsiaTheme="majorEastAsia" w:hAnsiTheme="majorHAnsi" w:cstheme="majorHAnsi"/>
      <w:i/>
      <w:iCs/>
      <w:color w:val="000000"/>
    </w:rPr>
  </w:style>
  <w:style w:type="character" w:customStyle="1" w:styleId="Rubrik5Char">
    <w:name w:val="Rubrik 5 Char"/>
    <w:basedOn w:val="Standardstycketeckensnitt"/>
    <w:link w:val="Rubrik5"/>
    <w:uiPriority w:val="9"/>
    <w:semiHidden/>
    <w:rsid w:val="006B1171"/>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B1171"/>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B1171"/>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B1171"/>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B1171"/>
    <w:pPr>
      <w:spacing w:after="200" w:line="240" w:lineRule="auto"/>
    </w:pPr>
    <w:rPr>
      <w:i/>
      <w:iCs/>
      <w:color w:val="747474" w:themeColor="text2"/>
      <w:sz w:val="18"/>
      <w:szCs w:val="18"/>
    </w:rPr>
  </w:style>
  <w:style w:type="paragraph" w:styleId="Rubrik">
    <w:name w:val="Title"/>
    <w:basedOn w:val="Normal"/>
    <w:next w:val="Normal"/>
    <w:link w:val="RubrikChar"/>
    <w:uiPriority w:val="10"/>
    <w:semiHidden/>
    <w:qFormat/>
    <w:rsid w:val="006B1171"/>
    <w:pPr>
      <w:spacing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B53934"/>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B1171"/>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semiHidden/>
    <w:rsid w:val="00B53934"/>
    <w:rPr>
      <w:color w:val="5A5A5A" w:themeColor="text1" w:themeTint="A5"/>
      <w:spacing w:val="15"/>
    </w:rPr>
  </w:style>
  <w:style w:type="character" w:styleId="Stark">
    <w:name w:val="Strong"/>
    <w:basedOn w:val="Standardstycketeckensnitt"/>
    <w:uiPriority w:val="22"/>
    <w:semiHidden/>
    <w:qFormat/>
    <w:rsid w:val="006B1171"/>
    <w:rPr>
      <w:b/>
      <w:bCs/>
      <w:color w:val="auto"/>
    </w:rPr>
  </w:style>
  <w:style w:type="character" w:styleId="Betoning">
    <w:name w:val="Emphasis"/>
    <w:basedOn w:val="Standardstycketeckensnitt"/>
    <w:uiPriority w:val="20"/>
    <w:semiHidden/>
    <w:qFormat/>
    <w:rsid w:val="006B1171"/>
    <w:rPr>
      <w:i/>
      <w:iCs/>
      <w:color w:val="auto"/>
    </w:rPr>
  </w:style>
  <w:style w:type="paragraph" w:styleId="Ingetavstnd">
    <w:name w:val="No Spacing"/>
    <w:uiPriority w:val="1"/>
    <w:qFormat/>
    <w:rsid w:val="006B1171"/>
    <w:pPr>
      <w:spacing w:after="0" w:line="240" w:lineRule="auto"/>
    </w:pPr>
  </w:style>
  <w:style w:type="paragraph" w:styleId="Citat">
    <w:name w:val="Quote"/>
    <w:basedOn w:val="Normal"/>
    <w:next w:val="Normal"/>
    <w:link w:val="CitatChar"/>
    <w:uiPriority w:val="29"/>
    <w:qFormat/>
    <w:rsid w:val="006B1171"/>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B53934"/>
    <w:rPr>
      <w:i/>
      <w:iCs/>
      <w:color w:val="404040" w:themeColor="text1" w:themeTint="BF"/>
    </w:rPr>
  </w:style>
  <w:style w:type="paragraph" w:styleId="Starktcitat">
    <w:name w:val="Intense Quote"/>
    <w:basedOn w:val="Normal"/>
    <w:next w:val="Normal"/>
    <w:link w:val="StarktcitatChar"/>
    <w:uiPriority w:val="30"/>
    <w:semiHidden/>
    <w:qFormat/>
    <w:rsid w:val="006B117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B53934"/>
    <w:rPr>
      <w:i/>
      <w:iCs/>
      <w:color w:val="404040" w:themeColor="text1" w:themeTint="BF"/>
    </w:rPr>
  </w:style>
  <w:style w:type="character" w:styleId="Diskretbetoning">
    <w:name w:val="Subtle Emphasis"/>
    <w:basedOn w:val="Standardstycketeckensnitt"/>
    <w:uiPriority w:val="19"/>
    <w:semiHidden/>
    <w:qFormat/>
    <w:rsid w:val="006B1171"/>
    <w:rPr>
      <w:i/>
      <w:iCs/>
      <w:color w:val="404040" w:themeColor="text1" w:themeTint="BF"/>
    </w:rPr>
  </w:style>
  <w:style w:type="character" w:styleId="Starkbetoning">
    <w:name w:val="Intense Emphasis"/>
    <w:basedOn w:val="Standardstycketeckensnitt"/>
    <w:uiPriority w:val="21"/>
    <w:semiHidden/>
    <w:qFormat/>
    <w:rsid w:val="006B1171"/>
    <w:rPr>
      <w:b/>
      <w:bCs/>
      <w:i/>
      <w:iCs/>
      <w:color w:val="auto"/>
    </w:rPr>
  </w:style>
  <w:style w:type="character" w:styleId="Diskretreferens">
    <w:name w:val="Subtle Reference"/>
    <w:basedOn w:val="Standardstycketeckensnitt"/>
    <w:uiPriority w:val="31"/>
    <w:semiHidden/>
    <w:qFormat/>
    <w:rsid w:val="006B1171"/>
    <w:rPr>
      <w:smallCaps/>
      <w:color w:val="404040" w:themeColor="text1" w:themeTint="BF"/>
    </w:rPr>
  </w:style>
  <w:style w:type="character" w:styleId="Starkreferens">
    <w:name w:val="Intense Reference"/>
    <w:basedOn w:val="Standardstycketeckensnitt"/>
    <w:uiPriority w:val="32"/>
    <w:semiHidden/>
    <w:qFormat/>
    <w:rsid w:val="006B1171"/>
    <w:rPr>
      <w:b/>
      <w:bCs/>
      <w:smallCaps/>
      <w:color w:val="404040" w:themeColor="text1" w:themeTint="BF"/>
      <w:spacing w:val="5"/>
    </w:rPr>
  </w:style>
  <w:style w:type="character" w:styleId="Bokenstitel">
    <w:name w:val="Book Title"/>
    <w:basedOn w:val="Standardstycketeckensnitt"/>
    <w:uiPriority w:val="33"/>
    <w:semiHidden/>
    <w:qFormat/>
    <w:rsid w:val="006B1171"/>
    <w:rPr>
      <w:b/>
      <w:bCs/>
      <w:i/>
      <w:iCs/>
      <w:spacing w:val="5"/>
    </w:rPr>
  </w:style>
  <w:style w:type="paragraph" w:styleId="Innehllsfrteckningsrubrik">
    <w:name w:val="TOC Heading"/>
    <w:basedOn w:val="Rubrik1"/>
    <w:next w:val="Normal"/>
    <w:uiPriority w:val="39"/>
    <w:unhideWhenUsed/>
    <w:qFormat/>
    <w:rsid w:val="006B1171"/>
    <w:pPr>
      <w:outlineLvl w:val="9"/>
    </w:pPr>
  </w:style>
  <w:style w:type="paragraph" w:styleId="Ballongtext">
    <w:name w:val="Balloon Text"/>
    <w:basedOn w:val="Normal"/>
    <w:link w:val="BallongtextChar"/>
    <w:uiPriority w:val="99"/>
    <w:semiHidden/>
    <w:unhideWhenUsed/>
    <w:rsid w:val="006B117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1171"/>
    <w:rPr>
      <w:rFonts w:ascii="Segoe UI" w:hAnsi="Segoe UI" w:cs="Segoe UI"/>
      <w:sz w:val="18"/>
      <w:szCs w:val="18"/>
    </w:rPr>
  </w:style>
  <w:style w:type="character" w:styleId="Hyperlnk">
    <w:name w:val="Hyperlink"/>
    <w:basedOn w:val="Standardstycketeckensnitt"/>
    <w:uiPriority w:val="99"/>
    <w:unhideWhenUsed/>
    <w:rsid w:val="007A1FBF"/>
    <w:rPr>
      <w:color w:val="0000FF" w:themeColor="hyperlink"/>
      <w:u w:val="single"/>
    </w:rPr>
  </w:style>
  <w:style w:type="character" w:styleId="Platshllartext">
    <w:name w:val="Placeholder Text"/>
    <w:basedOn w:val="Standardstycketeckensnitt"/>
    <w:uiPriority w:val="99"/>
    <w:semiHidden/>
    <w:rsid w:val="00D24665"/>
    <w:rPr>
      <w:color w:val="808080"/>
    </w:rPr>
  </w:style>
  <w:style w:type="paragraph" w:styleId="Innehll1">
    <w:name w:val="toc 1"/>
    <w:basedOn w:val="Normal"/>
    <w:next w:val="Normal"/>
    <w:autoRedefine/>
    <w:uiPriority w:val="39"/>
    <w:unhideWhenUsed/>
    <w:rsid w:val="00B60AC7"/>
    <w:pPr>
      <w:spacing w:after="100"/>
    </w:pPr>
  </w:style>
  <w:style w:type="paragraph" w:styleId="Innehll2">
    <w:name w:val="toc 2"/>
    <w:basedOn w:val="Normal"/>
    <w:next w:val="Normal"/>
    <w:autoRedefine/>
    <w:uiPriority w:val="39"/>
    <w:unhideWhenUsed/>
    <w:rsid w:val="00B60AC7"/>
    <w:pPr>
      <w:spacing w:after="100"/>
      <w:ind w:left="220"/>
    </w:pPr>
  </w:style>
  <w:style w:type="paragraph" w:styleId="Innehll3">
    <w:name w:val="toc 3"/>
    <w:basedOn w:val="Normal"/>
    <w:next w:val="Normal"/>
    <w:autoRedefine/>
    <w:uiPriority w:val="39"/>
    <w:unhideWhenUsed/>
    <w:rsid w:val="00B60AC7"/>
    <w:pPr>
      <w:spacing w:after="100"/>
      <w:ind w:left="440"/>
    </w:pPr>
  </w:style>
  <w:style w:type="paragraph" w:styleId="Liststycke">
    <w:name w:val="List Paragraph"/>
    <w:basedOn w:val="Normal"/>
    <w:uiPriority w:val="34"/>
    <w:qFormat/>
    <w:rsid w:val="00B60AC7"/>
    <w:pPr>
      <w:ind w:left="720"/>
      <w:contextualSpacing/>
    </w:pPr>
  </w:style>
  <w:style w:type="character" w:customStyle="1" w:styleId="q4iawc">
    <w:name w:val="q4iawc"/>
    <w:basedOn w:val="Standardstycketeckensnitt"/>
    <w:rsid w:val="00B30F48"/>
  </w:style>
  <w:style w:type="character" w:customStyle="1" w:styleId="markedcontent">
    <w:name w:val="markedcontent"/>
    <w:basedOn w:val="Standardstycketeckensnitt"/>
    <w:rsid w:val="00A45F3B"/>
  </w:style>
  <w:style w:type="paragraph" w:customStyle="1" w:styleId="Default">
    <w:name w:val="Default"/>
    <w:rsid w:val="006B61CF"/>
    <w:pPr>
      <w:autoSpaceDE w:val="0"/>
      <w:autoSpaceDN w:val="0"/>
      <w:adjustRightInd w:val="0"/>
      <w:spacing w:after="0" w:line="240" w:lineRule="auto"/>
    </w:pPr>
    <w:rPr>
      <w:rFonts w:ascii="Deja Vu Serif" w:eastAsia="Times New Roman" w:hAnsi="Deja Vu Serif" w:cs="Deja Vu Serif"/>
      <w:color w:val="000000"/>
      <w:sz w:val="24"/>
      <w:szCs w:val="24"/>
      <w:lang w:eastAsia="sv-SE"/>
    </w:rPr>
  </w:style>
  <w:style w:type="character" w:customStyle="1" w:styleId="bold-text">
    <w:name w:val="bold-text"/>
    <w:basedOn w:val="Standardstycketeckensnitt"/>
    <w:rsid w:val="00083DA1"/>
  </w:style>
  <w:style w:type="paragraph" w:styleId="Brdtext">
    <w:name w:val="Body Text"/>
    <w:basedOn w:val="Normal"/>
    <w:link w:val="BrdtextChar"/>
    <w:uiPriority w:val="1"/>
    <w:qFormat/>
    <w:rsid w:val="00A123BE"/>
    <w:pPr>
      <w:autoSpaceDE w:val="0"/>
      <w:autoSpaceDN w:val="0"/>
      <w:adjustRightInd w:val="0"/>
      <w:spacing w:before="4" w:after="0" w:line="240" w:lineRule="auto"/>
      <w:ind w:left="238"/>
      <w:jc w:val="both"/>
    </w:pPr>
    <w:rPr>
      <w:rFonts w:ascii="Gill Sans MT" w:hAnsi="Gill Sans MT" w:cs="Gill Sans MT"/>
      <w:color w:val="auto"/>
      <w:sz w:val="18"/>
      <w:szCs w:val="18"/>
    </w:rPr>
  </w:style>
  <w:style w:type="character" w:customStyle="1" w:styleId="BrdtextChar">
    <w:name w:val="Brödtext Char"/>
    <w:basedOn w:val="Standardstycketeckensnitt"/>
    <w:link w:val="Brdtext"/>
    <w:uiPriority w:val="1"/>
    <w:rsid w:val="00A123BE"/>
    <w:rPr>
      <w:rFonts w:ascii="Gill Sans MT" w:hAnsi="Gill Sans MT" w:cs="Gill Sans MT"/>
      <w:sz w:val="18"/>
      <w:szCs w:val="18"/>
    </w:rPr>
  </w:style>
  <w:style w:type="character" w:customStyle="1" w:styleId="jlqj4b">
    <w:name w:val="jlqj4b"/>
    <w:basedOn w:val="Standardstycketeckensnitt"/>
    <w:rsid w:val="009E5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3221">
      <w:bodyDiv w:val="1"/>
      <w:marLeft w:val="0"/>
      <w:marRight w:val="0"/>
      <w:marTop w:val="0"/>
      <w:marBottom w:val="0"/>
      <w:divBdr>
        <w:top w:val="none" w:sz="0" w:space="0" w:color="auto"/>
        <w:left w:val="none" w:sz="0" w:space="0" w:color="auto"/>
        <w:bottom w:val="none" w:sz="0" w:space="0" w:color="auto"/>
        <w:right w:val="none" w:sz="0" w:space="0" w:color="auto"/>
      </w:divBdr>
    </w:div>
    <w:div w:id="922952917">
      <w:bodyDiv w:val="1"/>
      <w:marLeft w:val="0"/>
      <w:marRight w:val="0"/>
      <w:marTop w:val="0"/>
      <w:marBottom w:val="0"/>
      <w:divBdr>
        <w:top w:val="none" w:sz="0" w:space="0" w:color="auto"/>
        <w:left w:val="none" w:sz="0" w:space="0" w:color="auto"/>
        <w:bottom w:val="none" w:sz="0" w:space="0" w:color="auto"/>
        <w:right w:val="none" w:sz="0" w:space="0" w:color="auto"/>
      </w:divBdr>
      <w:divsChild>
        <w:div w:id="1419329975">
          <w:marLeft w:val="0"/>
          <w:marRight w:val="0"/>
          <w:marTop w:val="0"/>
          <w:marBottom w:val="0"/>
          <w:divBdr>
            <w:top w:val="none" w:sz="0" w:space="0" w:color="auto"/>
            <w:left w:val="none" w:sz="0" w:space="0" w:color="auto"/>
            <w:bottom w:val="none" w:sz="0" w:space="0" w:color="auto"/>
            <w:right w:val="none" w:sz="0" w:space="0" w:color="auto"/>
          </w:divBdr>
        </w:div>
        <w:div w:id="598417718">
          <w:marLeft w:val="0"/>
          <w:marRight w:val="0"/>
          <w:marTop w:val="0"/>
          <w:marBottom w:val="0"/>
          <w:divBdr>
            <w:top w:val="none" w:sz="0" w:space="0" w:color="auto"/>
            <w:left w:val="none" w:sz="0" w:space="0" w:color="auto"/>
            <w:bottom w:val="none" w:sz="0" w:space="0" w:color="auto"/>
            <w:right w:val="none" w:sz="0" w:space="0" w:color="auto"/>
          </w:divBdr>
        </w:div>
      </w:divsChild>
    </w:div>
    <w:div w:id="1241676957">
      <w:bodyDiv w:val="1"/>
      <w:marLeft w:val="0"/>
      <w:marRight w:val="0"/>
      <w:marTop w:val="0"/>
      <w:marBottom w:val="0"/>
      <w:divBdr>
        <w:top w:val="none" w:sz="0" w:space="0" w:color="auto"/>
        <w:left w:val="none" w:sz="0" w:space="0" w:color="auto"/>
        <w:bottom w:val="none" w:sz="0" w:space="0" w:color="auto"/>
        <w:right w:val="none" w:sz="0" w:space="0" w:color="auto"/>
      </w:divBdr>
    </w:div>
    <w:div w:id="1554193292">
      <w:bodyDiv w:val="1"/>
      <w:marLeft w:val="0"/>
      <w:marRight w:val="0"/>
      <w:marTop w:val="0"/>
      <w:marBottom w:val="0"/>
      <w:divBdr>
        <w:top w:val="none" w:sz="0" w:space="0" w:color="auto"/>
        <w:left w:val="none" w:sz="0" w:space="0" w:color="auto"/>
        <w:bottom w:val="none" w:sz="0" w:space="0" w:color="auto"/>
        <w:right w:val="none" w:sz="0" w:space="0" w:color="auto"/>
      </w:divBdr>
      <w:divsChild>
        <w:div w:id="1650551049">
          <w:marLeft w:val="0"/>
          <w:marRight w:val="0"/>
          <w:marTop w:val="0"/>
          <w:marBottom w:val="0"/>
          <w:divBdr>
            <w:top w:val="none" w:sz="0" w:space="0" w:color="auto"/>
            <w:left w:val="none" w:sz="0" w:space="0" w:color="auto"/>
            <w:bottom w:val="none" w:sz="0" w:space="0" w:color="auto"/>
            <w:right w:val="none" w:sz="0" w:space="0" w:color="auto"/>
          </w:divBdr>
        </w:div>
        <w:div w:id="632979030">
          <w:marLeft w:val="0"/>
          <w:marRight w:val="0"/>
          <w:marTop w:val="0"/>
          <w:marBottom w:val="0"/>
          <w:divBdr>
            <w:top w:val="none" w:sz="0" w:space="0" w:color="auto"/>
            <w:left w:val="none" w:sz="0" w:space="0" w:color="auto"/>
            <w:bottom w:val="none" w:sz="0" w:space="0" w:color="auto"/>
            <w:right w:val="none" w:sz="0" w:space="0" w:color="auto"/>
          </w:divBdr>
        </w:div>
      </w:divsChild>
    </w:div>
    <w:div w:id="2116748489">
      <w:bodyDiv w:val="1"/>
      <w:marLeft w:val="0"/>
      <w:marRight w:val="0"/>
      <w:marTop w:val="0"/>
      <w:marBottom w:val="0"/>
      <w:divBdr>
        <w:top w:val="none" w:sz="0" w:space="0" w:color="auto"/>
        <w:left w:val="none" w:sz="0" w:space="0" w:color="auto"/>
        <w:bottom w:val="none" w:sz="0" w:space="0" w:color="auto"/>
        <w:right w:val="none" w:sz="0" w:space="0" w:color="auto"/>
      </w:divBdr>
      <w:divsChild>
        <w:div w:id="1643191645">
          <w:marLeft w:val="0"/>
          <w:marRight w:val="0"/>
          <w:marTop w:val="0"/>
          <w:marBottom w:val="0"/>
          <w:divBdr>
            <w:top w:val="none" w:sz="0" w:space="0" w:color="auto"/>
            <w:left w:val="none" w:sz="0" w:space="0" w:color="auto"/>
            <w:bottom w:val="none" w:sz="0" w:space="0" w:color="auto"/>
            <w:right w:val="none" w:sz="0" w:space="0" w:color="auto"/>
          </w:divBdr>
          <w:divsChild>
            <w:div w:id="434522163">
              <w:marLeft w:val="0"/>
              <w:marRight w:val="0"/>
              <w:marTop w:val="0"/>
              <w:marBottom w:val="0"/>
              <w:divBdr>
                <w:top w:val="none" w:sz="0" w:space="0" w:color="auto"/>
                <w:left w:val="none" w:sz="0" w:space="0" w:color="auto"/>
                <w:bottom w:val="none" w:sz="0" w:space="0" w:color="auto"/>
                <w:right w:val="none" w:sz="0" w:space="0" w:color="auto"/>
              </w:divBdr>
              <w:divsChild>
                <w:div w:id="1084568664">
                  <w:marLeft w:val="0"/>
                  <w:marRight w:val="0"/>
                  <w:marTop w:val="0"/>
                  <w:marBottom w:val="0"/>
                  <w:divBdr>
                    <w:top w:val="none" w:sz="0" w:space="0" w:color="auto"/>
                    <w:left w:val="none" w:sz="0" w:space="0" w:color="auto"/>
                    <w:bottom w:val="none" w:sz="0" w:space="0" w:color="auto"/>
                    <w:right w:val="none" w:sz="0" w:space="0" w:color="auto"/>
                  </w:divBdr>
                  <w:divsChild>
                    <w:div w:id="1906795398">
                      <w:marLeft w:val="0"/>
                      <w:marRight w:val="0"/>
                      <w:marTop w:val="0"/>
                      <w:marBottom w:val="0"/>
                      <w:divBdr>
                        <w:top w:val="none" w:sz="0" w:space="0" w:color="auto"/>
                        <w:left w:val="none" w:sz="0" w:space="0" w:color="auto"/>
                        <w:bottom w:val="none" w:sz="0" w:space="0" w:color="auto"/>
                        <w:right w:val="none" w:sz="0" w:space="0" w:color="auto"/>
                      </w:divBdr>
                      <w:divsChild>
                        <w:div w:id="1858810529">
                          <w:marLeft w:val="0"/>
                          <w:marRight w:val="0"/>
                          <w:marTop w:val="0"/>
                          <w:marBottom w:val="0"/>
                          <w:divBdr>
                            <w:top w:val="none" w:sz="0" w:space="0" w:color="auto"/>
                            <w:left w:val="none" w:sz="0" w:space="0" w:color="auto"/>
                            <w:bottom w:val="none" w:sz="0" w:space="0" w:color="auto"/>
                            <w:right w:val="none" w:sz="0" w:space="0" w:color="auto"/>
                          </w:divBdr>
                          <w:divsChild>
                            <w:div w:id="2007971865">
                              <w:marLeft w:val="0"/>
                              <w:marRight w:val="0"/>
                              <w:marTop w:val="0"/>
                              <w:marBottom w:val="0"/>
                              <w:divBdr>
                                <w:top w:val="none" w:sz="0" w:space="0" w:color="auto"/>
                                <w:left w:val="none" w:sz="0" w:space="0" w:color="auto"/>
                                <w:bottom w:val="none" w:sz="0" w:space="0" w:color="auto"/>
                                <w:right w:val="none" w:sz="0" w:space="0" w:color="auto"/>
                              </w:divBdr>
                            </w:div>
                            <w:div w:id="1509104164">
                              <w:marLeft w:val="0"/>
                              <w:marRight w:val="0"/>
                              <w:marTop w:val="0"/>
                              <w:marBottom w:val="0"/>
                              <w:divBdr>
                                <w:top w:val="none" w:sz="0" w:space="0" w:color="auto"/>
                                <w:left w:val="none" w:sz="0" w:space="0" w:color="auto"/>
                                <w:bottom w:val="none" w:sz="0" w:space="0" w:color="auto"/>
                                <w:right w:val="none" w:sz="0" w:space="0" w:color="auto"/>
                              </w:divBdr>
                              <w:divsChild>
                                <w:div w:id="1201164956">
                                  <w:marLeft w:val="0"/>
                                  <w:marRight w:val="0"/>
                                  <w:marTop w:val="0"/>
                                  <w:marBottom w:val="0"/>
                                  <w:divBdr>
                                    <w:top w:val="none" w:sz="0" w:space="0" w:color="auto"/>
                                    <w:left w:val="none" w:sz="0" w:space="0" w:color="auto"/>
                                    <w:bottom w:val="none" w:sz="0" w:space="0" w:color="auto"/>
                                    <w:right w:val="none" w:sz="0" w:space="0" w:color="auto"/>
                                  </w:divBdr>
                                  <w:divsChild>
                                    <w:div w:id="1628854013">
                                      <w:marLeft w:val="0"/>
                                      <w:marRight w:val="0"/>
                                      <w:marTop w:val="0"/>
                                      <w:marBottom w:val="0"/>
                                      <w:divBdr>
                                        <w:top w:val="none" w:sz="0" w:space="0" w:color="auto"/>
                                        <w:left w:val="none" w:sz="0" w:space="0" w:color="auto"/>
                                        <w:bottom w:val="none" w:sz="0" w:space="0" w:color="auto"/>
                                        <w:right w:val="none" w:sz="0" w:space="0" w:color="auto"/>
                                      </w:divBdr>
                                      <w:divsChild>
                                        <w:div w:id="8087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u-se-primo.hosted.exlibrisgroup.com/primo-explore/fulldisplay?docid=TN_cdi_swepub_primary_oai_DiVA_org_lnu_91895&amp;context=PC&amp;vid=primo-custom-lnu&amp;lang=sv_SE&amp;search_scope=default_scope&amp;adaptor=primo_central_multiple_fe&amp;tab=default_tab&amp;query=any%2Ccontains%2Cberit%20Karseth&amp;sortby=rank&amp;offset=10&amp;pcAvailability=fal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ka.finna.fi/Record/helka.222438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nu-se-primo.hosted.exlibrisgroup.com/primo-explore/fulldisplay?docid=TN_cdi_swepub_primary_oai_DiVA_org_lnu_91895&amp;context=PC&amp;vid=primo-custom-lnu&amp;lang=sv_SE&amp;search_scope=default_scope&amp;adaptor=primo_central_multiple_fe&amp;tab=default_tab&amp;query=any%2Ccontains%2Cberit%20Karseth&amp;sortby=rank&amp;offset=10&amp;pcAvailability=false" TargetMode="External"/><Relationship Id="rId4" Type="http://schemas.openxmlformats.org/officeDocument/2006/relationships/settings" Target="settings.xml"/><Relationship Id="rId9" Type="http://schemas.openxmlformats.org/officeDocument/2006/relationships/hyperlink" Target="https://doi.org/10.1080/19460171.2013.862503"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C57AC-B2D4-4398-B3E7-600B7DE9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3732</Words>
  <Characters>19784</Characters>
  <Application>Microsoft Office Word</Application>
  <DocSecurity>0</DocSecurity>
  <Lines>164</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Ninni Wahlström</dc:creator>
  <cp:keywords/>
  <dc:description/>
  <cp:lastModifiedBy>Andreas Nordin</cp:lastModifiedBy>
  <cp:revision>7</cp:revision>
  <cp:lastPrinted>2017-11-13T14:10:00Z</cp:lastPrinted>
  <dcterms:created xsi:type="dcterms:W3CDTF">2022-06-14T19:33:00Z</dcterms:created>
  <dcterms:modified xsi:type="dcterms:W3CDTF">2022-06-14T20:11:00Z</dcterms:modified>
</cp:coreProperties>
</file>